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2C" w:rsidRPr="00253F71" w:rsidRDefault="008C522C" w:rsidP="00074BCD">
      <w:pPr>
        <w:pStyle w:val="RRIV"/>
      </w:pPr>
      <w:r w:rsidRPr="00253F71">
        <w:t>DAMM</w:t>
      </w:r>
    </w:p>
    <w:p w:rsidR="008C522C" w:rsidRPr="00253F71" w:rsidRDefault="008C522C" w:rsidP="00074BCD">
      <w:pPr>
        <w:pStyle w:val="RLOG"/>
      </w:pPr>
      <w:r w:rsidRPr="00253F71">
        <w:t>COMMENTO</w:t>
      </w:r>
    </w:p>
    <w:p w:rsidR="008C522C" w:rsidRPr="00253F71" w:rsidRDefault="008C522C" w:rsidP="00074BCD">
      <w:pPr>
        <w:pStyle w:val="Rsigla"/>
        <w:rPr>
          <w:lang w:val="it-IT"/>
        </w:rPr>
      </w:pPr>
      <w:r w:rsidRPr="00253F71">
        <w:rPr>
          <w:lang w:val="it-IT"/>
        </w:rPr>
        <w:t>PRA</w:t>
      </w:r>
    </w:p>
    <w:p w:rsidR="008C522C" w:rsidRPr="000F2C27" w:rsidRDefault="008C522C" w:rsidP="00074BCD">
      <w:pPr>
        <w:pStyle w:val="Rvoce"/>
        <w:rPr>
          <w:highlight w:val="yellow"/>
          <w:lang w:val="it-IT"/>
        </w:rPr>
      </w:pPr>
    </w:p>
    <w:p w:rsidR="008C522C" w:rsidRPr="000F2C27" w:rsidRDefault="008C522C" w:rsidP="00074BCD">
      <w:pPr>
        <w:pStyle w:val="Rarea"/>
        <w:rPr>
          <w:highlight w:val="yellow"/>
          <w:lang w:val="it-IT"/>
        </w:rPr>
      </w:pPr>
    </w:p>
    <w:p w:rsidR="008C522C" w:rsidRPr="00FF7854" w:rsidRDefault="008C522C" w:rsidP="00074BCD">
      <w:pPr>
        <w:pStyle w:val="Rabs"/>
        <w:rPr>
          <w:lang w:val="it-IT"/>
        </w:rPr>
      </w:pPr>
    </w:p>
    <w:p w:rsidR="008C522C" w:rsidRPr="00C20E90" w:rsidRDefault="008C522C" w:rsidP="00074BCD">
      <w:pPr>
        <w:pStyle w:val="Rtest"/>
      </w:pPr>
      <w:r w:rsidRPr="00C20E90">
        <w:t>Documenti - Semplificazione amministrativa</w:t>
      </w:r>
    </w:p>
    <w:p w:rsidR="008C522C" w:rsidRPr="00C20E90" w:rsidRDefault="008C522C" w:rsidP="00FF7854">
      <w:pPr>
        <w:pStyle w:val="OCCH"/>
      </w:pPr>
      <w:r w:rsidRPr="00C20E90">
        <w:t>Politiche di semplificazione</w:t>
      </w:r>
    </w:p>
    <w:p w:rsidR="008C522C" w:rsidRPr="00C20E90" w:rsidRDefault="008C522C" w:rsidP="000F2C27">
      <w:pPr>
        <w:pStyle w:val="TIT"/>
      </w:pPr>
      <w:r w:rsidRPr="00C20E90">
        <w:t xml:space="preserve">Lo “stato dell’arte” della semplificazione in Italia. </w:t>
      </w:r>
    </w:p>
    <w:p w:rsidR="008C522C" w:rsidRPr="00C20E90" w:rsidRDefault="008C522C" w:rsidP="000F2C27">
      <w:pPr>
        <w:pStyle w:val="ESTREMO"/>
      </w:pPr>
      <w:r w:rsidRPr="00C20E90">
        <w:t>COMMISSIONE PARLAMENTARE PER LA SEMPLIFICAZIONE, 31 MARZO 2014</w:t>
      </w:r>
    </w:p>
    <w:p w:rsidR="008C522C" w:rsidRPr="00C20E90" w:rsidRDefault="008C522C" w:rsidP="000F2C27">
      <w:pPr>
        <w:pStyle w:val="TITPROVV"/>
      </w:pPr>
      <w:r w:rsidRPr="00C20E90">
        <w:t xml:space="preserve"> Documento conclusivo dell’indagine conoscitiva sulla semplificazione legislativa e amministrativa.</w:t>
      </w:r>
    </w:p>
    <w:p w:rsidR="008C522C" w:rsidRPr="00C20E90" w:rsidRDefault="008C522C" w:rsidP="00074BCD">
      <w:pPr>
        <w:pStyle w:val="TESTO"/>
        <w:rPr>
          <w:i/>
        </w:rPr>
      </w:pPr>
      <w:r w:rsidRPr="00C20E90">
        <w:rPr>
          <w:i/>
        </w:rPr>
        <w:t>(Omissis)</w:t>
      </w:r>
    </w:p>
    <w:p w:rsidR="008C522C" w:rsidRPr="00C20E90" w:rsidRDefault="008C522C" w:rsidP="000F2C27">
      <w:pPr>
        <w:pStyle w:val="TITCOMM"/>
      </w:pPr>
      <w:r w:rsidRPr="00C20E90">
        <w:t>IL COMMENTO</w:t>
      </w:r>
    </w:p>
    <w:p w:rsidR="008C522C" w:rsidRPr="00C20E90" w:rsidRDefault="008C522C" w:rsidP="000F2C27">
      <w:pPr>
        <w:pStyle w:val="AUTORE"/>
      </w:pPr>
      <w:r w:rsidRPr="00C20E90">
        <w:t xml:space="preserve">di </w:t>
      </w:r>
      <w:r w:rsidRPr="00C20E90">
        <w:rPr>
          <w:i/>
        </w:rPr>
        <w:t>Mariangela Benedetti</w:t>
      </w:r>
    </w:p>
    <w:p w:rsidR="008C522C" w:rsidRPr="00C20E90" w:rsidRDefault="008C522C">
      <w:pPr>
        <w:pStyle w:val="ABS"/>
        <w:tabs>
          <w:tab w:val="left" w:pos="3938"/>
        </w:tabs>
      </w:pPr>
      <w:r w:rsidRPr="00C20E90">
        <w:t>La Commissione parlamentare bicamerale per la semplificazione ha concluso i lavori dell’indagine conosc</w:t>
      </w:r>
      <w:r w:rsidRPr="00C20E90">
        <w:t>i</w:t>
      </w:r>
      <w:r w:rsidRPr="00C20E90">
        <w:t>tiva sulla semplificazione legislativa e amministrativa approvando all’unanimità il documento conclusivo ne</w:t>
      </w:r>
      <w:r w:rsidRPr="00C20E90">
        <w:t>l</w:t>
      </w:r>
      <w:r w:rsidRPr="00C20E90">
        <w:t xml:space="preserve">la seduta del 31 marzo 2014. Si tratta di un documento che, in modo sintetico chiaro ed efficace, riassume il lavoro svolto dalla Commissione in soli tre mesi di lavoro, dando conto dei principali risultati conseguiti. </w:t>
      </w:r>
    </w:p>
    <w:p w:rsidR="008C522C" w:rsidRPr="00C20E90" w:rsidRDefault="008C522C" w:rsidP="0059782D">
      <w:pPr>
        <w:pStyle w:val="ABS"/>
        <w:tabs>
          <w:tab w:val="left" w:pos="3938"/>
        </w:tabs>
      </w:pPr>
      <w:r w:rsidRPr="00C20E90">
        <w:t xml:space="preserve">Particolare rilevanza è data ai rimedi necessari per risolvere i problemi che ancora oggi impediscono una piena efficacia delle politiche di semplificazione. Si tratta di interventi diversi che possono essere incentivati dalla stessa Commissione in una logica di valorizzazione dell’attività di impulso e </w:t>
      </w:r>
      <w:bookmarkStart w:id="0" w:name="_GoBack"/>
      <w:bookmarkEnd w:id="0"/>
      <w:r w:rsidRPr="00C20E90">
        <w:t>monitoraggio della polit</w:t>
      </w:r>
      <w:r w:rsidRPr="00C20E90">
        <w:t>i</w:t>
      </w:r>
      <w:r w:rsidRPr="00C20E90">
        <w:t xml:space="preserve">ca di semplificazione, e più in generale di </w:t>
      </w:r>
      <w:r w:rsidRPr="00C20E90">
        <w:rPr>
          <w:i/>
        </w:rPr>
        <w:t>better regulation</w:t>
      </w:r>
      <w:r w:rsidRPr="00C20E90">
        <w:t>, da parte del Parlamento.</w:t>
      </w:r>
    </w:p>
    <w:p w:rsidR="008C522C" w:rsidRPr="000F019E" w:rsidRDefault="008C522C" w:rsidP="00AC0445">
      <w:pPr>
        <w:pStyle w:val="TIT1"/>
      </w:pPr>
      <w:r w:rsidRPr="000F019E">
        <w:t>Premessa</w:t>
      </w:r>
    </w:p>
    <w:p w:rsidR="008C522C" w:rsidRPr="00C20E90" w:rsidRDefault="008C522C" w:rsidP="00AC0445">
      <w:pPr>
        <w:pStyle w:val="TESTOCOMM"/>
      </w:pPr>
      <w:r w:rsidRPr="008D1ACC">
        <w:t xml:space="preserve">Il 31 </w:t>
      </w:r>
      <w:r>
        <w:t>m</w:t>
      </w:r>
      <w:r w:rsidRPr="008D1ACC">
        <w:t>arzo 2014 è stato approvato all’unanimità il “Documento conclusivo dell’indagine conoscitiva sull</w:t>
      </w:r>
      <w:r>
        <w:t>a semplificazio</w:t>
      </w:r>
      <w:r w:rsidRPr="00C20E90">
        <w:t>ne legislativa e amministrativa” promossa dalla Commissione parlamentare bicamerale per la semplificazione. L’indagine, che si è svolta tra il 4 dicembre 2013 e il 14 marzo 2014, è stata avviata «per consentire al Parlamento di prendere coscienza dello stato dell'arte della semplificazione, al fine di i</w:t>
      </w:r>
      <w:r w:rsidRPr="00C20E90">
        <w:t>n</w:t>
      </w:r>
      <w:r w:rsidRPr="00C20E90">
        <w:t>dividuare le migliori pratiche da diffondere e le criticità da superare»</w:t>
      </w:r>
      <w:r w:rsidRPr="00C20E90">
        <w:rPr>
          <w:rStyle w:val="FootnoteReference"/>
          <w:rFonts w:ascii="Garamond" w:hAnsi="Garamond" w:cs="Arial"/>
          <w:sz w:val="24"/>
          <w:szCs w:val="24"/>
        </w:rPr>
        <w:footnoteReference w:id="1"/>
      </w:r>
      <w:r w:rsidRPr="00C20E90">
        <w:t xml:space="preserve">. </w:t>
      </w:r>
    </w:p>
    <w:p w:rsidR="008C522C" w:rsidRPr="00C20E90" w:rsidRDefault="008C522C" w:rsidP="00AC0445">
      <w:pPr>
        <w:pStyle w:val="TESTOCOMM"/>
      </w:pPr>
      <w:r w:rsidRPr="00C20E90">
        <w:t>Si tratta dell’ultima iniziativa - in ordine di tempo - avviata per riportare al centro del dibattito politico e istituzionale il tema della semplificazione come leva strategica per la modernizzazione della pubblica a</w:t>
      </w:r>
      <w:r w:rsidRPr="00C20E90">
        <w:t>m</w:t>
      </w:r>
      <w:r w:rsidRPr="00C20E90">
        <w:t>ministrazione e volano della crescita del sistema competitivo del Paese. Il tema è entrato nell’agenda dei governi almeno da un ventennio, ovvero a partire dall’approvazione della legge n. 241 del 1990 che ha r</w:t>
      </w:r>
      <w:r w:rsidRPr="00C20E90">
        <w:t>i</w:t>
      </w:r>
      <w:r w:rsidRPr="00C20E90">
        <w:t>conosciuto la semplificazione quale principio generale ordinante l’azione amministrativa. Dagli anni N</w:t>
      </w:r>
      <w:r w:rsidRPr="00C20E90">
        <w:t>o</w:t>
      </w:r>
      <w:r w:rsidRPr="00C20E90">
        <w:t>vanta si è aperta la «stagione della semplificazione» ed è diventata condivisa l’idea secondo cui la semplif</w:t>
      </w:r>
      <w:r w:rsidRPr="00C20E90">
        <w:t>i</w:t>
      </w:r>
      <w:r w:rsidRPr="00C20E90">
        <w:t>cazione contribuisce alla riduzione del rischio amministrativo, aumenta la trasparenza dell’azione ammin</w:t>
      </w:r>
      <w:r w:rsidRPr="00C20E90">
        <w:t>i</w:t>
      </w:r>
      <w:r w:rsidRPr="00C20E90">
        <w:t>strativa e diventa elemento trainante di una più ampia riforma della pubblica amministrazione</w:t>
      </w:r>
      <w:r w:rsidRPr="00C20E90">
        <w:rPr>
          <w:vertAlign w:val="superscript"/>
        </w:rPr>
        <w:footnoteReference w:id="2"/>
      </w:r>
      <w:r w:rsidRPr="00C20E90">
        <w:t xml:space="preserve">. </w:t>
      </w:r>
    </w:p>
    <w:p w:rsidR="008C522C" w:rsidRPr="00C20E90" w:rsidRDefault="008C522C" w:rsidP="00AC0445">
      <w:pPr>
        <w:pStyle w:val="TESTOCOMM"/>
      </w:pPr>
      <w:r w:rsidRPr="00C20E90">
        <w:t>Eppure, nonostante i numerosi interventi adottati in questi ultimi anni, i risultati raggiunti non si sono r</w:t>
      </w:r>
      <w:r w:rsidRPr="00C20E90">
        <w:t>i</w:t>
      </w:r>
      <w:r w:rsidRPr="00C20E90">
        <w:t>velati all’altezza delle aspettative e degli impegni politici assunti: la semplificazione sembra ancora oggi, in special modo in alcuni settori, un miraggio da raggiungere, un proclama di difficile attuazione o un risultato da ottenere “faticosamente”, spesso al prezzo di nuovi oneri amministrativi a carico degli utenti o di una maggiore complessità normativa.</w:t>
      </w:r>
    </w:p>
    <w:p w:rsidR="008C522C" w:rsidRPr="00C20E90" w:rsidRDefault="008C522C" w:rsidP="00AC0445">
      <w:pPr>
        <w:pStyle w:val="TESTOCOMM"/>
      </w:pPr>
      <w:r w:rsidRPr="00C20E90">
        <w:rPr>
          <w:rFonts w:cs="Arial"/>
        </w:rPr>
        <w:t xml:space="preserve">Il dato è stato confermato dalle audizioni svolte nel corso dell’indagine. Ad avviso </w:t>
      </w:r>
      <w:r w:rsidRPr="00C20E90">
        <w:t>della Commissione, emerge in modo chiaro e condiviso “un quadro drammatico, soprattutto in una prolungata situazione di crisi economico-sociale, che avrebbe dovuto spronare a porre in essere tutte le misure di semplificazione possib</w:t>
      </w:r>
      <w:r w:rsidRPr="00C20E90">
        <w:t>i</w:t>
      </w:r>
      <w:r w:rsidRPr="00C20E90">
        <w:t>li per dare nuova energia - a costo zero, ed anzi con evidenti risparmi - ai cittadini ed alle imprese”. Il Paese, come Lemuel Gulliver di Jonathan Swift, risulta «auto-avviluppato in una miriade di lacci e lacciuoli ra</w:t>
      </w:r>
      <w:r w:rsidRPr="00C20E90">
        <w:t>p</w:t>
      </w:r>
      <w:r w:rsidRPr="00C20E90">
        <w:t>presentati da leggi nazionali e regionali, normative europee recepite sempre parzialmente e sempre in rita</w:t>
      </w:r>
      <w:r w:rsidRPr="00C20E90">
        <w:t>r</w:t>
      </w:r>
      <w:r w:rsidRPr="00C20E90">
        <w:t>do dal Parlamento e provvedimenti amministrativi di varia natura, origine e portata»</w:t>
      </w:r>
      <w:r w:rsidRPr="00C20E90">
        <w:rPr>
          <w:rStyle w:val="FootnoteReference"/>
          <w:rFonts w:ascii="Garamond" w:hAnsi="Garamond"/>
          <w:sz w:val="24"/>
          <w:szCs w:val="24"/>
        </w:rPr>
        <w:footnoteReference w:id="3"/>
      </w:r>
      <w:r w:rsidRPr="00C20E90">
        <w:t xml:space="preserve">. </w:t>
      </w:r>
    </w:p>
    <w:p w:rsidR="008C522C" w:rsidRPr="00C20E90" w:rsidRDefault="008C522C" w:rsidP="00AC0445">
      <w:pPr>
        <w:pStyle w:val="TESTOCOMM"/>
      </w:pPr>
      <w:r w:rsidRPr="00C20E90">
        <w:t>Sulla base delle risultanze dell’indagine, descritte in maniera approfondita nella prima parte del doc</w:t>
      </w:r>
      <w:r w:rsidRPr="00C20E90">
        <w:t>u</w:t>
      </w:r>
      <w:r w:rsidRPr="00C20E90">
        <w:t>mento, la Commissione affronta tre interrogativi principali: quali sono i problemi che ostacolano, ancora oggi, l’attuazione della politica di semplificazione? Quali sono le possibili linee d’azione necessarie a dare nuovo slancio alla stagione della semplificazione? Quali azioni e quali strumenti potrebbero essere utilizzati dalla Commissione stessa per dare un contributo utile?</w:t>
      </w:r>
    </w:p>
    <w:p w:rsidR="008C522C" w:rsidRPr="00C20E90" w:rsidRDefault="008C522C" w:rsidP="00AC0445">
      <w:pPr>
        <w:pStyle w:val="TESTOCOMM"/>
      </w:pPr>
      <w:r w:rsidRPr="00C20E90">
        <w:t xml:space="preserve">Di seguito, dopo una breve descrizione del lavoro svolto dalla Commissione, sono analizzate le risposte fornite. </w:t>
      </w:r>
    </w:p>
    <w:p w:rsidR="008C522C" w:rsidRPr="00C20E90" w:rsidRDefault="008C522C" w:rsidP="00AC0445">
      <w:pPr>
        <w:pStyle w:val="TIT1"/>
      </w:pPr>
      <w:r w:rsidRPr="00C20E90">
        <w:t xml:space="preserve">Il  lavoro della Commissione </w:t>
      </w:r>
    </w:p>
    <w:p w:rsidR="008C522C" w:rsidRPr="00C20E90" w:rsidRDefault="008C522C" w:rsidP="00AC0445">
      <w:pPr>
        <w:pStyle w:val="TESTOCOMM"/>
      </w:pPr>
      <w:r w:rsidRPr="00C20E90">
        <w:t>La Commissione parlamentare per la semplificazione ha stabilito di avviare l’indagine conoscitiva all’indomani dell’istituzione del relativo ufficio di presidenza approvando il programma di attività il 19 n</w:t>
      </w:r>
      <w:r w:rsidRPr="00C20E90">
        <w:t>o</w:t>
      </w:r>
      <w:r w:rsidRPr="00C20E90">
        <w:t xml:space="preserve">vembre 2013. </w:t>
      </w:r>
    </w:p>
    <w:p w:rsidR="008C522C" w:rsidRPr="00C20E90" w:rsidRDefault="008C522C" w:rsidP="00AC0445">
      <w:pPr>
        <w:pStyle w:val="TESTOCOMM"/>
      </w:pPr>
      <w:r w:rsidRPr="00C20E90">
        <w:t>Si tratta, dunque, della prima decisione adottata dall’ufficio dimostrando, in tal modo, sia la rilevanza politica dell’indagine, sia la volontà di assicurare un ruolo alla Commissione che, esaurita la delega del c</w:t>
      </w:r>
      <w:r w:rsidRPr="00C20E90">
        <w:t>o</w:t>
      </w:r>
      <w:r w:rsidRPr="00C20E90">
        <w:t xml:space="preserve">siddetto «taglia-leggi», non avrebbe altrimenti avuto altro lavoro. </w:t>
      </w:r>
    </w:p>
    <w:p w:rsidR="008C522C" w:rsidRPr="00C20E90" w:rsidRDefault="008C522C" w:rsidP="00AC0445">
      <w:pPr>
        <w:pStyle w:val="TESTOCOMM"/>
      </w:pPr>
      <w:r w:rsidRPr="00C20E90">
        <w:t>Non si tratta della prima iniziativa di questo genere. Già durante la XVI Legislatura, infatti, la Commi</w:t>
      </w:r>
      <w:r w:rsidRPr="00C20E90">
        <w:t>s</w:t>
      </w:r>
      <w:r w:rsidRPr="00C20E90">
        <w:t>sione bicamerale per la semplificazione aveva avviato un’indagine conoscitiva; in quel caso, tuttavia, si tra</w:t>
      </w:r>
      <w:r w:rsidRPr="00C20E90">
        <w:t>t</w:t>
      </w:r>
      <w:r w:rsidRPr="00C20E90">
        <w:t>tò essenzialmente di un approfondimento finalizzato a supportare l’attività istituzionale della stessa Co</w:t>
      </w:r>
      <w:r w:rsidRPr="00C20E90">
        <w:t>m</w:t>
      </w:r>
      <w:r w:rsidRPr="00C20E90">
        <w:t>missione che, in ossequio all’articolo 14 della legge 28 novembre 2005, n. 246,  aveva il compito di verif</w:t>
      </w:r>
      <w:r w:rsidRPr="00C20E90">
        <w:t>i</w:t>
      </w:r>
      <w:r w:rsidRPr="00C20E90">
        <w:t>care lo stato di attuazione del procedimento per l’abrogazione generalizzata delle norme anteriori al 1970 («taglia-leggi») ed esprimere pareri sugli schemi di decreti legislativi di riordino normativo</w:t>
      </w:r>
      <w:r w:rsidRPr="00C20E90">
        <w:rPr>
          <w:rStyle w:val="FootnoteReference"/>
          <w:rFonts w:ascii="Garamond" w:hAnsi="Garamond" w:cs="Arial"/>
          <w:sz w:val="24"/>
          <w:szCs w:val="24"/>
        </w:rPr>
        <w:footnoteReference w:id="4"/>
      </w:r>
      <w:r w:rsidRPr="00C20E90">
        <w:t xml:space="preserve">.  </w:t>
      </w:r>
    </w:p>
    <w:p w:rsidR="008C522C" w:rsidRPr="00C20E90" w:rsidRDefault="008C522C" w:rsidP="00AC0445">
      <w:pPr>
        <w:pStyle w:val="TESTOCOMM"/>
      </w:pPr>
      <w:r w:rsidRPr="00C20E90">
        <w:t>Rispetto a quest’ultima esperienza si rilevano, dunque, alcuni significativi elementi di differenziazione. Se ne indicano in particolare tre.</w:t>
      </w:r>
    </w:p>
    <w:p w:rsidR="008C522C" w:rsidRPr="00C20E90" w:rsidRDefault="008C522C" w:rsidP="00AC0445">
      <w:pPr>
        <w:pStyle w:val="TESTOCOMM"/>
      </w:pPr>
      <w:r w:rsidRPr="00C20E90">
        <w:t>Il primo è la finalità dell’indagine; mentre, come detto, la precedente ha discusso problemi applicativi legati al «taglia-leggi», in questa Legislatura la Commissione ha avviato un’indagine più ampia, finalizzata a conoscere e approfondire tutti i vari aspetti della semplificazione, non solo legislativa ma anche ammin</w:t>
      </w:r>
      <w:r w:rsidRPr="00C20E90">
        <w:t>i</w:t>
      </w:r>
      <w:r w:rsidRPr="00C20E90">
        <w:t>strativa. L’obiettivo, dichiarato nello stesso documento, è quello di fornire al Parlamento, sin dall’inizio de</w:t>
      </w:r>
      <w:r w:rsidRPr="00C20E90">
        <w:t>l</w:t>
      </w:r>
      <w:r w:rsidRPr="00C20E90">
        <w:t xml:space="preserve">la Legislatura, le informazioni utili allo svolgimento della propria attività istituzionale in materia. </w:t>
      </w:r>
    </w:p>
    <w:p w:rsidR="008C522C" w:rsidRPr="00C20E90" w:rsidRDefault="008C522C" w:rsidP="00AC0445">
      <w:pPr>
        <w:pStyle w:val="TESTOCOMM"/>
      </w:pPr>
      <w:r w:rsidRPr="00C20E90">
        <w:t>Il secondo elemento di differenziazione è il tempo in cui è stata realizzata l’indagine. Mentre quella sull’attuazione dell’articolo 14 della l. n. 246/2005 è stata condotta in un intervallo temporale di circa tre anni</w:t>
      </w:r>
      <w:r w:rsidRPr="00C20E90">
        <w:rPr>
          <w:rStyle w:val="FootnoteReference"/>
          <w:rFonts w:ascii="Garamond" w:hAnsi="Garamond" w:cs="Arial"/>
          <w:sz w:val="24"/>
          <w:szCs w:val="24"/>
        </w:rPr>
        <w:footnoteReference w:id="5"/>
      </w:r>
      <w:r w:rsidRPr="00C20E90">
        <w:t>, quella svolta dall’attuale Commissione si è svolta in soli tre mesi. In un ciclo serrato di audizioni d</w:t>
      </w:r>
      <w:r w:rsidRPr="00C20E90">
        <w:t>i</w:t>
      </w:r>
      <w:r w:rsidRPr="00C20E90">
        <w:t>stribuite in trenta sedute, la Commissione ha ascoltato una platea ampia e differenziata di soggetti: le istit</w:t>
      </w:r>
      <w:r w:rsidRPr="00C20E90">
        <w:t>u</w:t>
      </w:r>
      <w:r w:rsidRPr="00C20E90">
        <w:t xml:space="preserve">zioni, i rappresentanti del governo, le organizzazioni rappresentative del mondo imprenditoriale, sindacale, cooperativo, delle professioni e dei consumatori, gli esperti e i professori universitari. In realtà, il diverso </w:t>
      </w:r>
      <w:r w:rsidRPr="00C20E90">
        <w:t>o</w:t>
      </w:r>
      <w:r w:rsidRPr="00C20E90">
        <w:t>rizzonte temporale dipende dalle diverse finalità perseguite dalle due indagini. Mentre nella XVI Legislat</w:t>
      </w:r>
      <w:r w:rsidRPr="00C20E90">
        <w:t>u</w:t>
      </w:r>
      <w:r w:rsidRPr="00C20E90">
        <w:t xml:space="preserve">ra, l’indagine, supportando le attività istituzionali della Commissione, è stata naturalmente diluita nel corso del tempo; in questa Legislatura la Commissione ha utilizzato l’indagine per definire un proprio ruolo e </w:t>
      </w:r>
      <w:r w:rsidRPr="00C20E90">
        <w:t>a</w:t>
      </w:r>
      <w:r w:rsidRPr="00C20E90">
        <w:t xml:space="preserve">prire un dialogo istituzionale sulla trattazione di un tema ritenuto urgente e non più procrastinabile.  </w:t>
      </w:r>
    </w:p>
    <w:p w:rsidR="008C522C" w:rsidRPr="00C20E90" w:rsidRDefault="008C522C" w:rsidP="00AC0445">
      <w:pPr>
        <w:pStyle w:val="TESTOCOMM"/>
      </w:pPr>
      <w:r w:rsidRPr="00C20E90">
        <w:t xml:space="preserve">Il terzo elemento di distinzione è il prodotto dell’attività svolta; a differenza della precedente esperienza, l’indagine è terminata con l’elaborazione di un </w:t>
      </w:r>
      <w:r w:rsidRPr="00C20E90">
        <w:rPr>
          <w:i/>
        </w:rPr>
        <w:t>documento conclusivo</w:t>
      </w:r>
      <w:r w:rsidRPr="00C20E90">
        <w:t xml:space="preserve"> che riassume, in modo sintetico, chi</w:t>
      </w:r>
      <w:r w:rsidRPr="00C20E90">
        <w:t>a</w:t>
      </w:r>
      <w:r w:rsidRPr="00C20E90">
        <w:t>ro ed efficace, il lavoro svolto e i risultati conseguiti. È evidente che, anche in questo caso, la finalità dell’indagine ha contribuito a distinguere le due esperienze: nell’attuale Legislatura, infatti, le audizioni s</w:t>
      </w:r>
      <w:r w:rsidRPr="00C20E90">
        <w:t>o</w:t>
      </w:r>
      <w:r w:rsidRPr="00C20E90">
        <w:t>no state programmate per descrivere l’esistente e individuare, sulla base delle indicazioni e i suggerimenti forniti dagli auditi, eventuali strumenti per far fronte ai problemi riscontrati. Si tratta dunque di un’attività ampia di carattere valutativo e ricognitivo che, secondo quanto indicato dallo stesso Presidente della Co</w:t>
      </w:r>
      <w:r w:rsidRPr="00C20E90">
        <w:t>m</w:t>
      </w:r>
      <w:r w:rsidRPr="00C20E90">
        <w:t>missione durante il Convegno di presentazione del documento, risponde al motto einaudiano “conoscere per deliberare”. L’indagine, infatti, è stata considerata dalla Commissione attività imprescindibile per condiv</w:t>
      </w:r>
      <w:r w:rsidRPr="00C20E90">
        <w:t>i</w:t>
      </w:r>
      <w:r w:rsidRPr="00C20E90">
        <w:t xml:space="preserve">dere tra le varie forze politiche l’impegno a tenere alta l’attenzione sulla semplificazione anche in ragione dello stretto legame tra questa politica e quella, più ampia, sulle riforme amministrative. </w:t>
      </w:r>
    </w:p>
    <w:p w:rsidR="008C522C" w:rsidRPr="00C20E90" w:rsidRDefault="008C522C" w:rsidP="00AC0445">
      <w:pPr>
        <w:pStyle w:val="TESTOCOMM"/>
      </w:pPr>
      <w:r w:rsidRPr="00C20E90">
        <w:t>In questa prospettiva, il documento conclusivo rappresenta un fondamentale strumento di natura politica sia perché nasce con l’apporto di tutti i gruppi parlamentari, sia perché -  sulla base delle sue risultanze - s</w:t>
      </w:r>
      <w:r w:rsidRPr="00C20E90">
        <w:t>o</w:t>
      </w:r>
      <w:r w:rsidRPr="00C20E90">
        <w:t>no state presentate e approvate specifiche mozioni parlamentari sul tema</w:t>
      </w:r>
      <w:r w:rsidRPr="00C20E90">
        <w:rPr>
          <w:rStyle w:val="FootnoteReference"/>
          <w:rFonts w:ascii="Garamond" w:hAnsi="Garamond" w:cs="Arial"/>
          <w:sz w:val="24"/>
          <w:szCs w:val="24"/>
        </w:rPr>
        <w:footnoteReference w:id="6"/>
      </w:r>
      <w:r w:rsidRPr="00C20E90">
        <w:t xml:space="preserve"> ed elaborate specifiche proposte normative. </w:t>
      </w:r>
    </w:p>
    <w:p w:rsidR="008C522C" w:rsidRPr="00C20E90" w:rsidRDefault="008C522C" w:rsidP="00AC0445">
      <w:pPr>
        <w:pStyle w:val="TIT1"/>
      </w:pPr>
      <w:r w:rsidRPr="00C20E90">
        <w:t>I risultati dell’indagine: le patologie della semplificazione</w:t>
      </w:r>
    </w:p>
    <w:p w:rsidR="008C522C" w:rsidRPr="00C20E90" w:rsidRDefault="008C522C" w:rsidP="00AC0445">
      <w:pPr>
        <w:pStyle w:val="TESTOCOMM"/>
      </w:pPr>
      <w:r w:rsidRPr="00C20E90">
        <w:t xml:space="preserve">Le audizioni svolte nel corso dell’indagine hanno consentito di far emergere, o più propriamente di far riemergere, le principali patologie che ostacolano, ancora oggi, l’attuazione della politica di semplificazione in Italia. </w:t>
      </w:r>
    </w:p>
    <w:p w:rsidR="008C522C" w:rsidRPr="00C20E90" w:rsidRDefault="008C522C" w:rsidP="00AC0445">
      <w:pPr>
        <w:pStyle w:val="TESTOCOMM"/>
      </w:pPr>
      <w:r w:rsidRPr="00C20E90">
        <w:t xml:space="preserve">La diagnosi mette in risalto tre grandi questioni: 1) la qualità del legiferare; 2) lo stato della pubblica amministrazione; 3) la frantumazione territoriale. </w:t>
      </w:r>
    </w:p>
    <w:p w:rsidR="008C522C" w:rsidRPr="00C20E90" w:rsidRDefault="008C522C" w:rsidP="00AC0445">
      <w:pPr>
        <w:pStyle w:val="TESTOCOMM"/>
      </w:pPr>
      <w:r w:rsidRPr="00C20E90">
        <w:t xml:space="preserve">1) </w:t>
      </w:r>
      <w:r w:rsidRPr="00C20E90">
        <w:rPr>
          <w:i/>
        </w:rPr>
        <w:t>La qualità del legiferare</w:t>
      </w:r>
      <w:r w:rsidRPr="00C20E90">
        <w:t>. Alla qualità del legiferare è dedicata la maggiore attenzione del documento. Si tratta di un tema complesso che coinvolge diversi problemi strutturali della legislazione tra loro strett</w:t>
      </w:r>
      <w:r w:rsidRPr="00C20E90">
        <w:t>a</w:t>
      </w:r>
      <w:r w:rsidRPr="00C20E90">
        <w:t>mente connessi, ovvero: l’eccesso, la volatilità e il disordine della produzione normativa, la mancata o pa</w:t>
      </w:r>
      <w:r w:rsidRPr="00C20E90">
        <w:t>r</w:t>
      </w:r>
      <w:r w:rsidRPr="00C20E90">
        <w:t xml:space="preserve">ziale attuazione delle disposizioni, il non funzionamento e la cattiva qualità delle norme. </w:t>
      </w:r>
    </w:p>
    <w:p w:rsidR="008C522C" w:rsidRPr="00C20E90" w:rsidRDefault="008C522C" w:rsidP="00AC0445">
      <w:pPr>
        <w:pStyle w:val="TESTOCOMM"/>
      </w:pPr>
      <w:r w:rsidRPr="00C20E90">
        <w:t>L’indagine rileva, innanzitutto, che l’ordinamento giuridico italiano è caratterizzato da un “numero e</w:t>
      </w:r>
      <w:r w:rsidRPr="00C20E90">
        <w:t>c</w:t>
      </w:r>
      <w:r w:rsidRPr="00C20E90">
        <w:t>cessivo e tutt’oggi inconoscibile di norme, spesso instabili e soggette a continue modifiche”</w:t>
      </w:r>
      <w:r w:rsidRPr="00C20E90">
        <w:rPr>
          <w:rStyle w:val="FootnoteReference"/>
          <w:rFonts w:ascii="Garamond" w:hAnsi="Garamond"/>
          <w:sz w:val="24"/>
          <w:szCs w:val="24"/>
        </w:rPr>
        <w:footnoteReference w:id="7"/>
      </w:r>
      <w:r w:rsidRPr="00C20E90">
        <w:t>. Tale stratif</w:t>
      </w:r>
      <w:r w:rsidRPr="00C20E90">
        <w:t>i</w:t>
      </w:r>
      <w:r w:rsidRPr="00C20E90">
        <w:t>cazione normativa deriva da una molteplicità di fattori. Ad esempio, la disciplina nazionale di recepimento di quella europea è più restrittiva e dettagliata di quanto necessario, determinando inutili costi ulteriori per cittadini e imprese in relazione ai quali il Parlamento accorda sovente proroghe o dispone correttivi. Inoltre, la prassi legislativa, privilegiando l’utilizzo della decretazione d’urgenza anche per la definizione di inte</w:t>
      </w:r>
      <w:r w:rsidRPr="00C20E90">
        <w:t>r</w:t>
      </w:r>
      <w:r w:rsidRPr="00C20E90">
        <w:t>venti ordinamentali, aumenta la volatilità dei testi normativi, cioè la necessità di loro continue messe a pu</w:t>
      </w:r>
      <w:r w:rsidRPr="00C20E90">
        <w:t>n</w:t>
      </w:r>
      <w:r w:rsidRPr="00C20E90">
        <w:t xml:space="preserve">to, in ragione dell’assenza di una progettazione legislativa a monte e di un’adeguata istruttoria parlamentare a valle. </w:t>
      </w:r>
    </w:p>
    <w:p w:rsidR="008C522C" w:rsidRPr="00C20E90" w:rsidRDefault="008C522C" w:rsidP="00AC0445">
      <w:pPr>
        <w:pStyle w:val="TESTOCOMM"/>
      </w:pPr>
      <w:r w:rsidRPr="00C20E90">
        <w:t>Il disordine della regolazione italiana dipende principalmente dal fatto che essa risulta «dispersa in n</w:t>
      </w:r>
      <w:r w:rsidRPr="00C20E90">
        <w:t>u</w:t>
      </w:r>
      <w:r w:rsidRPr="00C20E90">
        <w:t xml:space="preserve">merosissimi provvedimenti, sempre più spesso a contenuto </w:t>
      </w:r>
      <w:r w:rsidRPr="00C20E90">
        <w:rPr>
          <w:i/>
        </w:rPr>
        <w:t>ommibus</w:t>
      </w:r>
      <w:r w:rsidRPr="00C20E90">
        <w:t xml:space="preserve"> o multisettoriale»</w:t>
      </w:r>
      <w:r w:rsidRPr="00C20E90">
        <w:rPr>
          <w:rStyle w:val="FootnoteReference"/>
          <w:rFonts w:ascii="Garamond" w:hAnsi="Garamond"/>
          <w:sz w:val="24"/>
          <w:szCs w:val="24"/>
        </w:rPr>
        <w:footnoteReference w:id="8"/>
      </w:r>
      <w:r w:rsidRPr="00C20E90">
        <w:t>, ovvero sparsa in un sistema di fonti scarsamente coordinate tra loro e caratterizzata da rimandi continui a fonti di rango inferiore la cui adozione è differita nel tempo</w:t>
      </w:r>
      <w:r w:rsidRPr="00C20E90">
        <w:rPr>
          <w:rStyle w:val="FootnoteReference"/>
          <w:rFonts w:ascii="Garamond" w:hAnsi="Garamond"/>
          <w:sz w:val="24"/>
          <w:szCs w:val="24"/>
        </w:rPr>
        <w:footnoteReference w:id="9"/>
      </w:r>
      <w:r w:rsidRPr="00C20E90">
        <w:t>. I provvedimenti legislativi restano di frequente inapplicati a causa della tardiva emanazione dei regolamenti e degli altri decreti ai quali spesso viene affidata l’attuazione delle proprie disposizioni.</w:t>
      </w:r>
    </w:p>
    <w:p w:rsidR="008C522C" w:rsidRPr="00C20E90" w:rsidRDefault="008C522C" w:rsidP="00AC0445">
      <w:pPr>
        <w:pStyle w:val="TESTOCOMM"/>
      </w:pPr>
      <w:r w:rsidRPr="00C20E90">
        <w:t>L’instabilità che deriva dall’eccesso e dal disordine normativo, seppur fisiologica in ordinamenti giurid</w:t>
      </w:r>
      <w:r w:rsidRPr="00C20E90">
        <w:t>i</w:t>
      </w:r>
      <w:r w:rsidRPr="00C20E90">
        <w:t>ci multilivello come il nostro, ostacola l’individuazione delle norme da applicare e rende il diritto incerto e la sua attuazione arbitraria. Effetti negativi sono rilevati anche sulla qualità del testo normativo. L’indagine mostra la tendenza a utilizzare norme poco chiare «formulate con ricorso ad un dizionario per iniziati, spe</w:t>
      </w:r>
      <w:r w:rsidRPr="00C20E90">
        <w:t>s</w:t>
      </w:r>
      <w:r w:rsidRPr="00C20E90">
        <w:t>so ambigue, il più delle volte comprensibili soltanto attraverso la consultazione delle disposizioni in esse r</w:t>
      </w:r>
      <w:r w:rsidRPr="00C20E90">
        <w:t>i</w:t>
      </w:r>
      <w:r w:rsidRPr="00C20E90">
        <w:t>chiamate, talora così astruse che anche il legislatore necessita che gli vengono spiegate»</w:t>
      </w:r>
      <w:r w:rsidRPr="00C20E90">
        <w:rPr>
          <w:rStyle w:val="FootnoteReference"/>
          <w:rFonts w:ascii="Garamond" w:hAnsi="Garamond"/>
          <w:sz w:val="24"/>
          <w:szCs w:val="24"/>
        </w:rPr>
        <w:footnoteReference w:id="10"/>
      </w:r>
      <w:r w:rsidRPr="00C20E90">
        <w:t xml:space="preserve">. </w:t>
      </w:r>
    </w:p>
    <w:p w:rsidR="008C522C" w:rsidRPr="00C20E90" w:rsidRDefault="008C522C" w:rsidP="00AC0445">
      <w:pPr>
        <w:pStyle w:val="TESTOCOMM"/>
      </w:pPr>
      <w:r w:rsidRPr="00C20E90">
        <w:t>Ma quali sono le cause di questo fallimento che permane, o addirittura risulta aggravato negli ultimi a</w:t>
      </w:r>
      <w:r w:rsidRPr="00C20E90">
        <w:t>n</w:t>
      </w:r>
      <w:r w:rsidRPr="00C20E90">
        <w:t xml:space="preserve">ni, nonostante gli strumenti adoperati per migliorare e razionalizzare la qualità della regolazione? </w:t>
      </w:r>
    </w:p>
    <w:p w:rsidR="008C522C" w:rsidRPr="00C20E90" w:rsidRDefault="008C522C" w:rsidP="00AC0445">
      <w:pPr>
        <w:pStyle w:val="TESTOCOMM"/>
      </w:pPr>
      <w:r w:rsidRPr="00C20E90">
        <w:t>Dalle audizioni svolte sono emerse tre cause principali. La prima è l’effetto “tela di Penelope”. Gli str</w:t>
      </w:r>
      <w:r w:rsidRPr="00C20E90">
        <w:t>u</w:t>
      </w:r>
      <w:r w:rsidRPr="00C20E90">
        <w:t xml:space="preserve">menti per una migliore normativa e per la predisposizione di regole efficaci sono stati prima introdotti e poi disapplicati in un meccanismo alternante  di “regola e deroga” in base al quale ciò che viene fatto con fatica un giorno viene rapidamente disfatto nei giorni successivi. Ne rappresentano un esempio le disposizioni sull’analisi di impatto della regolamentazione (Air) o sulla verifica </w:t>
      </w:r>
      <w:r w:rsidRPr="00C20E90">
        <w:rPr>
          <w:i/>
        </w:rPr>
        <w:t>ex post</w:t>
      </w:r>
      <w:r w:rsidRPr="00C20E90">
        <w:t xml:space="preserve"> di impatto della regolazione (Vir) la cui applicazione è stata vanificata dalle “necessità politiche che hanno (quasi sempre) imposto di prescindere da essa”</w:t>
      </w:r>
      <w:r w:rsidRPr="00C20E90">
        <w:rPr>
          <w:rStyle w:val="FootnoteReference"/>
          <w:rFonts w:ascii="Garamond" w:hAnsi="Garamond"/>
          <w:sz w:val="24"/>
          <w:szCs w:val="24"/>
        </w:rPr>
        <w:footnoteReference w:id="11"/>
      </w:r>
      <w:r w:rsidRPr="00C20E90">
        <w:t xml:space="preserve">. </w:t>
      </w:r>
    </w:p>
    <w:p w:rsidR="008C522C" w:rsidRPr="00C20E90" w:rsidRDefault="008C522C" w:rsidP="00AC0445">
      <w:pPr>
        <w:pStyle w:val="TESTOCOMM"/>
      </w:pPr>
      <w:r w:rsidRPr="00C20E90">
        <w:t xml:space="preserve">La seconda causa è l’incapacità di cogliere appieno le potenzialità del «taglia-leggi». Poiché l’attenzione è stata concentrata sull’effetto spettacolare degli interventi di riduzione dello </w:t>
      </w:r>
      <w:r w:rsidRPr="00C20E90">
        <w:rPr>
          <w:i/>
        </w:rPr>
        <w:t>stock</w:t>
      </w:r>
      <w:r w:rsidRPr="00C20E90">
        <w:t xml:space="preserve"> normativo, si è finito per trascurare l’opportunità più importante offerta dalla legge n. 246/2005, ossia la raccolta di norme per mat</w:t>
      </w:r>
      <w:r w:rsidRPr="00C20E90">
        <w:t>e</w:t>
      </w:r>
      <w:r w:rsidRPr="00C20E90">
        <w:t xml:space="preserve">rie omogenee in vista di un’eventuale codificazione. </w:t>
      </w:r>
    </w:p>
    <w:p w:rsidR="008C522C" w:rsidRPr="00C20E90" w:rsidRDefault="008C522C" w:rsidP="00AC0445">
      <w:pPr>
        <w:pStyle w:val="TESTOCOMM"/>
      </w:pPr>
      <w:r w:rsidRPr="00C20E90">
        <w:t>La terza causa è l’inflazione normativa che spesso ha caratterizzato le disposizioni adottate per semplif</w:t>
      </w:r>
      <w:r w:rsidRPr="00C20E90">
        <w:t>i</w:t>
      </w:r>
      <w:r w:rsidRPr="00C20E90">
        <w:t>care. In realtà, il numero di volte in cui viene riscritta una misura di semplificazione può indicare non solo l’assenza di una visione chiara e unitaria del legislatore, ma anche la manutenzione  necessaria a migliora</w:t>
      </w:r>
      <w:r w:rsidRPr="00C20E90">
        <w:t>r</w:t>
      </w:r>
      <w:r w:rsidRPr="00C20E90">
        <w:t>ne la funzionalità. Tuttavia, è evidente che l’instabilità produce l’effetto di aumentare l’incertezza tra i suoi destinatari come accaduto, ad esempio, per gli interventi sulla Denuncia di inizio di attività (Dia), sulla S</w:t>
      </w:r>
      <w:r w:rsidRPr="00C20E90">
        <w:t>e</w:t>
      </w:r>
      <w:r w:rsidRPr="00C20E90">
        <w:t>gnalazione certificata di inizio di attività (Scia) e sulla Comunicazione di inizio lavori asseverata (Cila) che «non sovrapponendosi esattamente aumentano il livello di confusione normativa»</w:t>
      </w:r>
      <w:r w:rsidRPr="00C20E90">
        <w:rPr>
          <w:rStyle w:val="FootnoteReference"/>
          <w:rFonts w:ascii="Garamond" w:hAnsi="Garamond"/>
          <w:sz w:val="24"/>
          <w:szCs w:val="24"/>
        </w:rPr>
        <w:footnoteReference w:id="12"/>
      </w:r>
      <w:r w:rsidRPr="00C20E90">
        <w:t xml:space="preserve">. </w:t>
      </w:r>
    </w:p>
    <w:p w:rsidR="008C522C" w:rsidRPr="00C20E90" w:rsidRDefault="008C522C" w:rsidP="00AC0445">
      <w:pPr>
        <w:pStyle w:val="TESTOCOMM"/>
      </w:pPr>
      <w:r w:rsidRPr="00C20E90">
        <w:t xml:space="preserve">2) </w:t>
      </w:r>
      <w:r w:rsidRPr="00C20E90">
        <w:rPr>
          <w:i/>
        </w:rPr>
        <w:t>Lo stato della pubblica amministrazione</w:t>
      </w:r>
      <w:r w:rsidRPr="00C20E90">
        <w:t>. Una seconda patologia individuata nel documento conclus</w:t>
      </w:r>
      <w:r w:rsidRPr="00C20E90">
        <w:t>i</w:t>
      </w:r>
      <w:r w:rsidRPr="00C20E90">
        <w:t>vo dell’indagine ha ad oggetto lo stato della pubblica amministrazione. Su questo aspetto, viene rilevato che «la problematica della semplificazione deve essere inquadrata nel crocevia dei rapporti che legano politica, amministrazione, magistratura, imprese e cittadini»</w:t>
      </w:r>
      <w:r w:rsidRPr="00C20E90">
        <w:rPr>
          <w:rStyle w:val="FootnoteReference"/>
          <w:rFonts w:ascii="Garamond" w:hAnsi="Garamond"/>
          <w:sz w:val="24"/>
          <w:szCs w:val="24"/>
        </w:rPr>
        <w:footnoteReference w:id="13"/>
      </w:r>
      <w:r w:rsidRPr="00C20E90">
        <w:t>. La complicazione normativa e amministrativa è, infa</w:t>
      </w:r>
      <w:r w:rsidRPr="00C20E90">
        <w:t>t</w:t>
      </w:r>
      <w:r w:rsidRPr="00C20E90">
        <w:t>ti, in parte riconducibile al processo decisionale e al modo in cui sono ripartite le responsabilità tra organi politici e amministrativi.</w:t>
      </w:r>
    </w:p>
    <w:p w:rsidR="008C522C" w:rsidRPr="00C20E90" w:rsidRDefault="008C522C" w:rsidP="00AC0445">
      <w:pPr>
        <w:pStyle w:val="TESTOCOMM"/>
      </w:pPr>
      <w:r w:rsidRPr="00C20E90">
        <w:t xml:space="preserve">Due sono i problemi principali indicati: la perdita di autorevolezza e competenza tecnica della pubblica amministrazioni e la deresponsabilizzazione della struttura burocratica. </w:t>
      </w:r>
    </w:p>
    <w:p w:rsidR="008C522C" w:rsidRPr="00C20E90" w:rsidRDefault="008C522C" w:rsidP="00AC0445">
      <w:pPr>
        <w:pStyle w:val="TESTOCOMM"/>
      </w:pPr>
      <w:r w:rsidRPr="00C20E90">
        <w:t xml:space="preserve">Il documento rileva che ad incidere negativamente sulla valorizzazione delle competenze tecniche è stata l’applicazione dello </w:t>
      </w:r>
      <w:r w:rsidRPr="00C20E90">
        <w:rPr>
          <w:i/>
        </w:rPr>
        <w:t>spoils system</w:t>
      </w:r>
      <w:r w:rsidRPr="00C20E90">
        <w:t>. Si tratta di una pratica che, seppur non esclude di per sé selezioni merit</w:t>
      </w:r>
      <w:r w:rsidRPr="00C20E90">
        <w:t>o</w:t>
      </w:r>
      <w:r w:rsidRPr="00C20E90">
        <w:t xml:space="preserve">cratiche, è stata applicata nel corso degli anni per ampliare e valorizzare il rapporto fiduciario tra il livello politico - eletto </w:t>
      </w:r>
      <w:r w:rsidRPr="00C20E90">
        <w:rPr>
          <w:i/>
        </w:rPr>
        <w:t>pro tempore</w:t>
      </w:r>
      <w:r w:rsidRPr="00C20E90">
        <w:t xml:space="preserve"> - e il livello amministrativo. </w:t>
      </w:r>
    </w:p>
    <w:p w:rsidR="008C522C" w:rsidRPr="00C20E90" w:rsidRDefault="008C522C" w:rsidP="00AC0445">
      <w:pPr>
        <w:pStyle w:val="TESTOCOMM"/>
      </w:pPr>
      <w:r w:rsidRPr="00C20E90">
        <w:t>Questa scelta ha determinato evidenti ricadute in termini sia qualitativi che quantitativi. Sul piano qual</w:t>
      </w:r>
      <w:r w:rsidRPr="00C20E90">
        <w:t>i</w:t>
      </w:r>
      <w:r w:rsidRPr="00C20E90">
        <w:t xml:space="preserve">tativo, il documento individua la perdita della terzietà del processo decisionale che, piegato al criterio della fedeltà al potere politico, finisce per produrre norme e provvedimenti che non hanno la capacità di rimanere validi nel tempo, assicurando la necessaria certezza e stabilità del diritto e dei rapporti giuridici. Analoghi gli effetti sul piano quantitativo: «l’avvicendarsi senza sosta dei dirigenti amministrativi porta con sé un </w:t>
      </w:r>
      <w:r w:rsidRPr="00C20E90">
        <w:t>i</w:t>
      </w:r>
      <w:r w:rsidRPr="00C20E90">
        <w:t>nevitabile stimolo a produrre ad ogni piè sospinto nuove norme e nuovi regolamenti»; ciò al fine sia di «l</w:t>
      </w:r>
      <w:r w:rsidRPr="00C20E90">
        <w:t>a</w:t>
      </w:r>
      <w:r w:rsidRPr="00C20E90">
        <w:t>sciare un’impronta del proprio passaggio nell’Amministrazione, sia per adeguare il funzionamento dell’amministrazione ai nuovi indirizzi politici che via via si stratificano, quando non si contrappongono»</w:t>
      </w:r>
      <w:r w:rsidRPr="00C20E90">
        <w:rPr>
          <w:rStyle w:val="FootnoteReference"/>
          <w:rFonts w:ascii="Garamond" w:hAnsi="Garamond"/>
          <w:sz w:val="24"/>
          <w:szCs w:val="24"/>
        </w:rPr>
        <w:footnoteReference w:id="14"/>
      </w:r>
      <w:r w:rsidRPr="00C20E90">
        <w:t>. Si tratta, dunque, di un’attività che, privilegiando gli interessi individuali e settoriali, non consente la fo</w:t>
      </w:r>
      <w:r w:rsidRPr="00C20E90">
        <w:t>r</w:t>
      </w:r>
      <w:r w:rsidRPr="00C20E90">
        <w:t xml:space="preserve">mazione di un comune </w:t>
      </w:r>
      <w:r w:rsidRPr="00C20E90">
        <w:rPr>
          <w:i/>
        </w:rPr>
        <w:t>acquis</w:t>
      </w:r>
      <w:r w:rsidRPr="00C20E90">
        <w:t xml:space="preserve"> sulla semplificazione che, invece, permetterebbe l’adozione di una politica di lunga durata e maggiormente coerente con le scelte fatte. </w:t>
      </w:r>
    </w:p>
    <w:p w:rsidR="008C522C" w:rsidRPr="00C20E90" w:rsidRDefault="008C522C" w:rsidP="00AC0445">
      <w:pPr>
        <w:pStyle w:val="TESTOCOMM"/>
      </w:pPr>
      <w:r w:rsidRPr="00C20E90">
        <w:t>Per altro verso, il documento ha indicato il problema della deresponsabilizzazione dei funzionari amm</w:t>
      </w:r>
      <w:r w:rsidRPr="00C20E90">
        <w:t>i</w:t>
      </w:r>
      <w:r w:rsidRPr="00C20E90">
        <w:t>nistrativi e delle strutture burocratiche. Ci si riferisce alle resistenze che ostacolano l’attuazione della se</w:t>
      </w:r>
      <w:r w:rsidRPr="00C20E90">
        <w:t>m</w:t>
      </w:r>
      <w:r w:rsidRPr="00C20E90">
        <w:t>plificazione, in particolar modo quella di tipo amministrativo. L’applicazione delle semplificazioni ammin</w:t>
      </w:r>
      <w:r w:rsidRPr="00C20E90">
        <w:t>i</w:t>
      </w:r>
      <w:r w:rsidRPr="00C20E90">
        <w:t>strative determina, tra l’altro, l’eliminazione di fasi procedimentali, la concentrazione del potere decisionale in un unico soggetto e la riduzione delle sfere di imputazione delle responsabilità. La struttura burocratica, preoccupata della maggiore responsabilità individuale - soprattutto sul versante penale ed erariale - che s</w:t>
      </w:r>
      <w:r w:rsidRPr="00C20E90">
        <w:t>e</w:t>
      </w:r>
      <w:r w:rsidRPr="00C20E90">
        <w:t>gue a queste misure produce la controspinta alla riduzione di tale rischio. I dirigenti e i pubblici funzionari, infatti, attuano una strategia difensiva che si avvale di due strumenti: il primo, è l’irrigidimento del proc</w:t>
      </w:r>
      <w:r w:rsidRPr="00C20E90">
        <w:t>e</w:t>
      </w:r>
      <w:r w:rsidRPr="00C20E90">
        <w:t>dimento attraverso la moltiplicazione e la ripetizione di fasi deliberative o di momenti decisionali per co</w:t>
      </w:r>
      <w:r w:rsidRPr="00C20E90">
        <w:t>n</w:t>
      </w:r>
      <w:r w:rsidRPr="00C20E90">
        <w:t>dividere la responsabilità</w:t>
      </w:r>
      <w:r w:rsidRPr="00C20E90">
        <w:rPr>
          <w:rStyle w:val="FootnoteReference"/>
          <w:rFonts w:ascii="Garamond" w:hAnsi="Garamond"/>
          <w:sz w:val="24"/>
          <w:szCs w:val="24"/>
        </w:rPr>
        <w:footnoteReference w:id="15"/>
      </w:r>
      <w:r w:rsidRPr="00C20E90">
        <w:t>; il secondo, è il rifugio nella copertura legislativa che presenta norme sempre più di dettaglio. Si tratta, dunque, di un problema che trova terreno fertile nella cattiva qualità delle regole; quest’ultime, lungi dal rilevarsi efficaci in ragione del loro livello di dettaglio, «hanno finito per alimentare un contenzioso giurisdizionale arrivato a livelli insostenibili», se non addirittura «diffusi fenomeni corrutt</w:t>
      </w:r>
      <w:r w:rsidRPr="00C20E90">
        <w:t>i</w:t>
      </w:r>
      <w:r w:rsidRPr="00C20E90">
        <w:t>vi»</w:t>
      </w:r>
      <w:r w:rsidRPr="00C20E90">
        <w:rPr>
          <w:rStyle w:val="FootnoteReference"/>
          <w:rFonts w:ascii="Garamond" w:hAnsi="Garamond"/>
          <w:sz w:val="24"/>
          <w:szCs w:val="24"/>
        </w:rPr>
        <w:footnoteReference w:id="16"/>
      </w:r>
      <w:r w:rsidRPr="00C20E90">
        <w:t>.</w:t>
      </w:r>
    </w:p>
    <w:p w:rsidR="008C522C" w:rsidRPr="00C20E90" w:rsidRDefault="008C522C" w:rsidP="00AC0445">
      <w:pPr>
        <w:pStyle w:val="TESTOCOMM"/>
      </w:pPr>
      <w:r w:rsidRPr="00C20E90">
        <w:t xml:space="preserve">3) </w:t>
      </w:r>
      <w:r w:rsidRPr="00C20E90">
        <w:rPr>
          <w:i/>
        </w:rPr>
        <w:t>La frantumazione territoriale</w:t>
      </w:r>
      <w:r w:rsidRPr="00C20E90">
        <w:t xml:space="preserve">. La terza patologia individuata dall’indagine conoscitiva è quella della frantumazione territoriale. Si tratta di uno degli aspetti più discussi durante le audizioni, che hanno rilevato gli effetti negativi prodotti sul sistema amministrativo dalla modifica del Titolo V della Costituzione. </w:t>
      </w:r>
    </w:p>
    <w:p w:rsidR="008C522C" w:rsidRPr="00C20E90" w:rsidRDefault="008C522C" w:rsidP="00AC0445">
      <w:pPr>
        <w:pStyle w:val="TESTOCOMM"/>
      </w:pPr>
      <w:r w:rsidRPr="00C20E90">
        <w:t>In particolare, è stato posto in risalto che «la riforma del Titolo V ha costituito un ibrido irrazionale, in cui l’intrecciarsi dei diversi livelli di governo ha duplicato o triplicato le responsabilità su una stessa mat</w:t>
      </w:r>
      <w:r w:rsidRPr="00C20E90">
        <w:t>e</w:t>
      </w:r>
      <w:r w:rsidRPr="00C20E90">
        <w:t>ria» finendo per generare «costi impropri, incertezza, inefficienza e poteri di veto»</w:t>
      </w:r>
      <w:r w:rsidRPr="00C20E90">
        <w:rPr>
          <w:rStyle w:val="FootnoteReference"/>
          <w:rFonts w:ascii="Garamond" w:hAnsi="Garamond" w:cs="Arial"/>
          <w:sz w:val="24"/>
          <w:szCs w:val="24"/>
        </w:rPr>
        <w:footnoteReference w:id="17"/>
      </w:r>
      <w:r w:rsidRPr="00C20E90">
        <w:t>.</w:t>
      </w:r>
    </w:p>
    <w:p w:rsidR="008C522C" w:rsidRPr="00C20E90" w:rsidRDefault="008C522C" w:rsidP="00AC0445">
      <w:pPr>
        <w:pStyle w:val="TESTOCOMM"/>
      </w:pPr>
      <w:r w:rsidRPr="00C20E90">
        <w:t>Gli effetti più rilevanti riguardano due aspetti: innanzitutto, quello della complessità organizzativa e d</w:t>
      </w:r>
      <w:r w:rsidRPr="00C20E90">
        <w:t>e</w:t>
      </w:r>
      <w:r w:rsidRPr="00C20E90">
        <w:t>gli assetti istituzionali che è andata progressivamente aumentando in termini di enti e soggetti presso i quali  sono allocate le funzioni legislative e amministrative; in secondo luogo quello procedimentale, in quanto si è persa l’uniformità territoriale di procedure e prassi operative. Sul piano della prassi sono emersi i dati più significativi</w:t>
      </w:r>
      <w:r w:rsidRPr="00C20E90">
        <w:rPr>
          <w:rStyle w:val="FootnoteReference"/>
          <w:rFonts w:ascii="Garamond" w:hAnsi="Garamond" w:cs="Arial"/>
          <w:sz w:val="24"/>
          <w:szCs w:val="24"/>
        </w:rPr>
        <w:footnoteReference w:id="18"/>
      </w:r>
      <w:r w:rsidRPr="00C20E90">
        <w:t>. Occorre considerare che i “costi” sostenuti dagli utenti per richiedere e ottenere autorizzazi</w:t>
      </w:r>
      <w:r w:rsidRPr="00C20E90">
        <w:t>o</w:t>
      </w:r>
      <w:r w:rsidRPr="00C20E90">
        <w:t>ni amministrative è determinato solo in parte da norme, mentre sempre più rilevante risulta il peso delle r</w:t>
      </w:r>
      <w:r w:rsidRPr="00C20E90">
        <w:t>i</w:t>
      </w:r>
      <w:r w:rsidRPr="00C20E90">
        <w:t>chieste di dati tecnici, di formulari e di modulari che, in ragione dell’autonoma potestà regolamentare degli enti locali, si sono sempre più differenziati. Così ad esempio, i trasporti eccezionali hanno ancora oggi bis</w:t>
      </w:r>
      <w:r w:rsidRPr="00C20E90">
        <w:t>o</w:t>
      </w:r>
      <w:r w:rsidRPr="00C20E90">
        <w:t>gno di un permesso per ogni Regione che attraversano; e l’istanza di un titolo abilitativo, in materia edilizia o commerciale, è accompagnata da un modulo specifico per ciascuno dei circa 8.000 comuni italiani</w:t>
      </w:r>
      <w:r w:rsidRPr="00C20E90">
        <w:rPr>
          <w:rStyle w:val="FootnoteReference"/>
          <w:rFonts w:ascii="Garamond" w:hAnsi="Garamond"/>
          <w:sz w:val="24"/>
          <w:szCs w:val="24"/>
        </w:rPr>
        <w:footnoteReference w:id="19"/>
      </w:r>
      <w:r w:rsidRPr="00C20E90">
        <w:t xml:space="preserve">. </w:t>
      </w:r>
    </w:p>
    <w:p w:rsidR="008C522C" w:rsidRPr="00C20E90" w:rsidRDefault="008C522C" w:rsidP="00AC0445">
      <w:pPr>
        <w:pStyle w:val="TESTOCOMM"/>
      </w:pPr>
      <w:r w:rsidRPr="00C20E90">
        <w:t>Questa complicazione inficia soprattutto l’attività imprenditoriale: i continui adattamenti richiesti dalle amministrazioni per consentire alle imprese di lavorare in più realtà territoriali costituiscono una vera e pr</w:t>
      </w:r>
      <w:r w:rsidRPr="00C20E90">
        <w:t>o</w:t>
      </w:r>
      <w:r w:rsidRPr="00C20E90">
        <w:t xml:space="preserve">pria barriera commerciale che porta alla frantumazione del mercato interno.  </w:t>
      </w:r>
    </w:p>
    <w:p w:rsidR="008C522C" w:rsidRPr="00C20E90" w:rsidRDefault="008C522C" w:rsidP="00AC0445">
      <w:pPr>
        <w:pStyle w:val="TIT1"/>
      </w:pPr>
      <w:r w:rsidRPr="00C20E90">
        <w:t>I rimedi proposti dalla Commissione</w:t>
      </w:r>
    </w:p>
    <w:p w:rsidR="008C522C" w:rsidRPr="00C20E90" w:rsidRDefault="008C522C" w:rsidP="00AC0445">
      <w:pPr>
        <w:pStyle w:val="TESTOCOMM"/>
      </w:pPr>
      <w:r w:rsidRPr="00C20E90">
        <w:t>La Commissione individua alcuni rimedi che, alla luce delle indicazioni raccolte nelle audizioni, sono r</w:t>
      </w:r>
      <w:r w:rsidRPr="00C20E90">
        <w:t>i</w:t>
      </w:r>
      <w:r w:rsidRPr="00C20E90">
        <w:t>tenuti necessari per risolvere i problemi che impediscono una piena efficacia delle politiche di semplific</w:t>
      </w:r>
      <w:r w:rsidRPr="00C20E90">
        <w:t>a</w:t>
      </w:r>
      <w:r w:rsidRPr="00C20E90">
        <w:t>zione. Si tratta di interventi diversi, in parte già adottati nel passato, dal carattere sia puntuale, sia trasvers</w:t>
      </w:r>
      <w:r w:rsidRPr="00C20E90">
        <w:t>a</w:t>
      </w:r>
      <w:r w:rsidRPr="00C20E90">
        <w:t>le, quali, in particolare: prevedere norme sempre più auto-applicative; rilanciare la digitalizzazione e la de-materializzazione dei flussi informativi e documentali; utilizzare la cd. Agenda per la semplificazione</w:t>
      </w:r>
      <w:r w:rsidRPr="00C20E90">
        <w:rPr>
          <w:rStyle w:val="FootnoteReference"/>
          <w:rFonts w:ascii="Garamond" w:hAnsi="Garamond" w:cs="Sylfaen"/>
          <w:sz w:val="24"/>
          <w:szCs w:val="24"/>
        </w:rPr>
        <w:footnoteReference w:id="20"/>
      </w:r>
      <w:r w:rsidRPr="00C20E90">
        <w:t>; rendere più operativi l’Air, la Vir e l’Atn; incentivare il ricorso alle migliori pratiche; abbandonare le norme manifesto e la legislazione per annunci; consolidare l’istituto delle consultazioni pubbliche per individuare le priorità della semplificazione; rafforzare la cooperazione inter-istituzionale; varare un programma di lib</w:t>
      </w:r>
      <w:r w:rsidRPr="00C20E90">
        <w:t>e</w:t>
      </w:r>
      <w:r w:rsidRPr="00C20E90">
        <w:t>ralizzazioni; ridurre i tempi di adozione dei regolamenti tramite procedure per superare il dissenso da parte dei ministeri concertati; introdurre, anche tramite riforma costituzionale, leggi organiche che regolino i d</w:t>
      </w:r>
      <w:r w:rsidRPr="00C20E90">
        <w:t>i</w:t>
      </w:r>
      <w:r w:rsidRPr="00C20E90">
        <w:t xml:space="preserve">ritti di cittadini e imprese. </w:t>
      </w:r>
    </w:p>
    <w:p w:rsidR="008C522C" w:rsidRPr="00C20E90" w:rsidRDefault="008C522C" w:rsidP="00AC0445">
      <w:pPr>
        <w:pStyle w:val="TESTOCOMM"/>
      </w:pPr>
      <w:r w:rsidRPr="00C20E90">
        <w:t xml:space="preserve">Più in generale, tuttavia, il documento rileva la necessità di effettuare un </w:t>
      </w:r>
      <w:r w:rsidRPr="00C20E90">
        <w:rPr>
          <w:i/>
        </w:rPr>
        <w:t>salto culturale</w:t>
      </w:r>
      <w:r w:rsidRPr="00C20E90">
        <w:t xml:space="preserve"> nel modo di concepire la politica di semplificazione che oggi si presenta ancora troppo settorializzata e poco integrata alla riforma della pubblica amministrazione. È necessario, dunque, avere il coraggio di incidere con una l</w:t>
      </w:r>
      <w:r w:rsidRPr="00C20E90">
        <w:t>o</w:t>
      </w:r>
      <w:r w:rsidRPr="00C20E90">
        <w:t>gica di sistema «sulle macro-questioni attinenti agli snodi istituzionali con particolare riguardo alle compl</w:t>
      </w:r>
      <w:r w:rsidRPr="00C20E90">
        <w:t>i</w:t>
      </w:r>
      <w:r w:rsidRPr="00C20E90">
        <w:t>cazioni derivanti dall’assetto territoriale e ai rapporti tra politica e amministrazione»</w:t>
      </w:r>
      <w:r w:rsidRPr="00C20E90">
        <w:rPr>
          <w:rStyle w:val="FootnoteReference"/>
          <w:rFonts w:ascii="Garamond" w:hAnsi="Garamond" w:cs="Sylfaen"/>
          <w:sz w:val="24"/>
          <w:szCs w:val="24"/>
        </w:rPr>
        <w:footnoteReference w:id="21"/>
      </w:r>
      <w:r w:rsidRPr="00C20E90">
        <w:t>, al numero eccessivo dei soggetti dotati di potestà legislativa</w:t>
      </w:r>
      <w:r w:rsidRPr="00C20E90">
        <w:rPr>
          <w:rStyle w:val="FootnoteReference"/>
          <w:rFonts w:ascii="Garamond" w:hAnsi="Garamond" w:cs="Sylfaen"/>
          <w:sz w:val="24"/>
          <w:szCs w:val="24"/>
        </w:rPr>
        <w:footnoteReference w:id="22"/>
      </w:r>
      <w:r w:rsidRPr="00C20E90">
        <w:t>, alle tecniche legislative adottate, spesso, in modo caotico e i</w:t>
      </w:r>
      <w:r w:rsidRPr="00C20E90">
        <w:t>m</w:t>
      </w:r>
      <w:r w:rsidRPr="00C20E90">
        <w:t>provvisato</w:t>
      </w:r>
      <w:r w:rsidRPr="00C20E90">
        <w:rPr>
          <w:rStyle w:val="FootnoteReference"/>
          <w:rFonts w:ascii="Garamond" w:hAnsi="Garamond" w:cs="Sylfaen"/>
          <w:sz w:val="24"/>
          <w:szCs w:val="24"/>
        </w:rPr>
        <w:footnoteReference w:id="23"/>
      </w:r>
      <w:r w:rsidRPr="00C20E90">
        <w:t xml:space="preserve">. </w:t>
      </w:r>
    </w:p>
    <w:p w:rsidR="008C522C" w:rsidRPr="00C20E90" w:rsidRDefault="008C522C" w:rsidP="00AC0445">
      <w:pPr>
        <w:pStyle w:val="TESTOCOMM"/>
      </w:pPr>
      <w:r w:rsidRPr="00C20E90">
        <w:t xml:space="preserve">Tre sono gli snodi principali su cui occorre intervenire. </w:t>
      </w:r>
    </w:p>
    <w:p w:rsidR="008C522C" w:rsidRPr="00C20E90" w:rsidRDefault="008C522C" w:rsidP="00AC0445">
      <w:pPr>
        <w:pStyle w:val="TESTOCOMM"/>
      </w:pPr>
      <w:r w:rsidRPr="00C20E90">
        <w:t>Il primo è rappresentato dai rapporti tra politica e amministrazione: occorre superare la logica del rappo</w:t>
      </w:r>
      <w:r w:rsidRPr="00C20E90">
        <w:t>r</w:t>
      </w:r>
      <w:r w:rsidRPr="00C20E90">
        <w:t xml:space="preserve">to fiduciario - esasperato dallo </w:t>
      </w:r>
      <w:r w:rsidRPr="00C20E90">
        <w:rPr>
          <w:i/>
        </w:rPr>
        <w:t>spoils system</w:t>
      </w:r>
      <w:r w:rsidRPr="00C20E90">
        <w:t xml:space="preserve"> -, rafforzando, in sede di accesso all’impiego, lo strumento concorsuale, e, in costanza di rapporto, introducendo «sistemi di valutazione periodica del lavoro, del ra</w:t>
      </w:r>
      <w:r w:rsidRPr="00C20E90">
        <w:t>g</w:t>
      </w:r>
      <w:r w:rsidRPr="00C20E90">
        <w:t>giungimento degli obiettivi e del grado di soddisfazione dei cittadini, dai quali far dipendere la conferma o meno dei dirigenti amministrativi»</w:t>
      </w:r>
      <w:r w:rsidRPr="00C20E90">
        <w:rPr>
          <w:rStyle w:val="FootnoteReference"/>
          <w:rFonts w:ascii="Garamond" w:hAnsi="Garamond" w:cs="Sylfaen"/>
          <w:sz w:val="24"/>
          <w:szCs w:val="24"/>
        </w:rPr>
        <w:footnoteReference w:id="24"/>
      </w:r>
      <w:r w:rsidRPr="00C20E90">
        <w:t xml:space="preserve">. </w:t>
      </w:r>
    </w:p>
    <w:p w:rsidR="008C522C" w:rsidRPr="00C20E90" w:rsidRDefault="008C522C" w:rsidP="00AC0445">
      <w:pPr>
        <w:pStyle w:val="TESTOCOMM"/>
      </w:pPr>
      <w:r w:rsidRPr="00C20E90">
        <w:t>Il secondo, è il superamento della diffidenza reciproca tra amministrazione, istituzioni politiche e cittad</w:t>
      </w:r>
      <w:r w:rsidRPr="00C20E90">
        <w:t>i</w:t>
      </w:r>
      <w:r w:rsidRPr="00C20E90">
        <w:t>ni che, fino ad oggi, ha prodotto la moltiplicazione degli adempimenti formali e la gestione dell’attività amministrativa «in termini punitivi o di scoraggiamento per qualunque attività intrapresa dai soggetti priv</w:t>
      </w:r>
      <w:r w:rsidRPr="00C20E90">
        <w:t>a</w:t>
      </w:r>
      <w:r w:rsidRPr="00C20E90">
        <w:t>ti» frenata da «controlli preventivi  più che altro meramente cartacei e formali»</w:t>
      </w:r>
      <w:r w:rsidRPr="00C20E90">
        <w:rPr>
          <w:rStyle w:val="FootnoteReference"/>
          <w:rFonts w:ascii="Garamond" w:hAnsi="Garamond" w:cs="Sylfaen"/>
          <w:sz w:val="24"/>
          <w:szCs w:val="24"/>
        </w:rPr>
        <w:t xml:space="preserve"> </w:t>
      </w:r>
      <w:r w:rsidRPr="00C20E90">
        <w:rPr>
          <w:rStyle w:val="FootnoteReference"/>
          <w:rFonts w:ascii="Garamond" w:hAnsi="Garamond" w:cs="Sylfaen"/>
          <w:sz w:val="24"/>
          <w:szCs w:val="24"/>
        </w:rPr>
        <w:footnoteReference w:id="25"/>
      </w:r>
      <w:r w:rsidRPr="00C20E90">
        <w:t xml:space="preserve">. </w:t>
      </w:r>
    </w:p>
    <w:p w:rsidR="008C522C" w:rsidRPr="00C20E90" w:rsidRDefault="008C522C" w:rsidP="00AC0445">
      <w:pPr>
        <w:pStyle w:val="TESTOCOMM"/>
      </w:pPr>
      <w:r w:rsidRPr="00C20E90">
        <w:t>Il terzo, infine, è rappresentato dal superamento della paralisi decisionale delle istituzioni cui hanno su</w:t>
      </w:r>
      <w:r w:rsidRPr="00C20E90">
        <w:t>p</w:t>
      </w:r>
      <w:r w:rsidRPr="00C20E90">
        <w:t>plito i meccanismi procedimentali; si tratta di far leva sulla responsabilità politica per definire precise «g</w:t>
      </w:r>
      <w:r w:rsidRPr="00C20E90">
        <w:t>e</w:t>
      </w:r>
      <w:r w:rsidRPr="00C20E90">
        <w:t>rarchie tra gli interessi pubblici che spesso confliggono tra di loro in modo da avere chiaro – anche per p</w:t>
      </w:r>
      <w:r w:rsidRPr="00C20E90">
        <w:t>e</w:t>
      </w:r>
      <w:r w:rsidRPr="00C20E90">
        <w:t>riodi di tempo determinati – gli interessi che devono prevalere»</w:t>
      </w:r>
      <w:r w:rsidRPr="00C20E90">
        <w:rPr>
          <w:rStyle w:val="FootnoteReference"/>
          <w:rFonts w:ascii="Garamond" w:hAnsi="Garamond" w:cs="Sylfaen"/>
          <w:sz w:val="24"/>
          <w:szCs w:val="24"/>
        </w:rPr>
        <w:footnoteReference w:id="26"/>
      </w:r>
      <w:r w:rsidRPr="00C20E90">
        <w:t>.</w:t>
      </w:r>
    </w:p>
    <w:p w:rsidR="008C522C" w:rsidRPr="00C20E90" w:rsidRDefault="008C522C" w:rsidP="00AC0445">
      <w:pPr>
        <w:pStyle w:val="TESTOCOMM"/>
      </w:pPr>
      <w:r w:rsidRPr="00C20E90">
        <w:t>Da ultimo, tra i rimedi indicati merita una specifica menzione, per la sua logica di integrazione tra tecn</w:t>
      </w:r>
      <w:r w:rsidRPr="00C20E90">
        <w:t>i</w:t>
      </w:r>
      <w:r w:rsidRPr="00C20E90">
        <w:t xml:space="preserve">che di semplificazione normativa e amministrativa, il cd. </w:t>
      </w:r>
      <w:r w:rsidRPr="00C20E90">
        <w:rPr>
          <w:i/>
        </w:rPr>
        <w:t>programma di codificazione settoriale</w:t>
      </w:r>
      <w:r w:rsidRPr="00C20E90">
        <w:t xml:space="preserve"> attraverso la predisposizione di testi unici compilativi.  </w:t>
      </w:r>
    </w:p>
    <w:p w:rsidR="008C522C" w:rsidRPr="00C20E90" w:rsidRDefault="008C522C" w:rsidP="00AC0445">
      <w:pPr>
        <w:pStyle w:val="TESTOCOMM"/>
      </w:pPr>
      <w:r w:rsidRPr="00C20E90">
        <w:t>Si tratta di un programma articolato in tre fasi: 1) la ricognizione della legislazione vigente nei singoli settori e nella elaborazione di testi unici compilativi a norma dell’art. 17-</w:t>
      </w:r>
      <w:r w:rsidRPr="00C20E90">
        <w:rPr>
          <w:i/>
        </w:rPr>
        <w:t>bis</w:t>
      </w:r>
      <w:r w:rsidRPr="00C20E90">
        <w:t xml:space="preserve"> della legge 23 agosto 1988, n. 400, introdotto nella scorsa legislatura dalla legge 18 giugno 2009, n. 69, ma che ad oggi non ha visto anc</w:t>
      </w:r>
      <w:r w:rsidRPr="00C20E90">
        <w:t>o</w:t>
      </w:r>
      <w:r w:rsidRPr="00C20E90">
        <w:t>ra sfruttate le sue potenzialità; 2) la misurazione degli oneri amministrativi (Moa)</w:t>
      </w:r>
      <w:r w:rsidRPr="00C20E90">
        <w:rPr>
          <w:rStyle w:val="FootnoteReference"/>
          <w:rFonts w:ascii="Garamond" w:hAnsi="Garamond" w:cs="Sylfaen"/>
          <w:sz w:val="24"/>
          <w:szCs w:val="24"/>
        </w:rPr>
        <w:footnoteReference w:id="27"/>
      </w:r>
      <w:r w:rsidRPr="00C20E90">
        <w:t xml:space="preserve"> derivanti dalle dispos</w:t>
      </w:r>
      <w:r w:rsidRPr="00C20E90">
        <w:t>i</w:t>
      </w:r>
      <w:r w:rsidRPr="00C20E90">
        <w:t xml:space="preserve">zioni vigenti; 3) l’individuazione e l’adozione delle misure di semplificazione. </w:t>
      </w:r>
    </w:p>
    <w:p w:rsidR="008C522C" w:rsidRPr="00C20E90" w:rsidRDefault="008C522C" w:rsidP="00AC0445">
      <w:pPr>
        <w:pStyle w:val="TESTOCOMM"/>
      </w:pPr>
      <w:r w:rsidRPr="00C20E90">
        <w:t>La previsione di questo percorso presenta molti pregi. Innanzitutto, come accennato, quello di coniugare, in linea con gli orientamenti dell’Ocse, le due declinazioni della semplificazione - normativa e amministr</w:t>
      </w:r>
      <w:r w:rsidRPr="00C20E90">
        <w:t>a</w:t>
      </w:r>
      <w:r w:rsidRPr="00C20E90">
        <w:t xml:space="preserve">tiva - superando la tradizionale impostazione che, invece, tende a concepirle come parallele distinte. </w:t>
      </w:r>
    </w:p>
    <w:p w:rsidR="008C522C" w:rsidRPr="00C20E90" w:rsidRDefault="008C522C" w:rsidP="00AC0445">
      <w:pPr>
        <w:pStyle w:val="TESTOCOMM"/>
      </w:pPr>
      <w:r w:rsidRPr="00C20E90">
        <w:t xml:space="preserve">Inoltre, l’utilizzo dei testi unici compilativi valorizza l’attività di manutenzione permanente dello </w:t>
      </w:r>
      <w:r w:rsidRPr="00C20E90">
        <w:rPr>
          <w:i/>
        </w:rPr>
        <w:t>stock</w:t>
      </w:r>
      <w:r w:rsidRPr="00C20E90">
        <w:t xml:space="preserve"> normativo poiché consente al Governo di operare, a prescindere da una specifica - e limitata nel tempo - d</w:t>
      </w:r>
      <w:r w:rsidRPr="00C20E90">
        <w:t>e</w:t>
      </w:r>
      <w:r w:rsidRPr="00C20E90">
        <w:t>lega, al fine di ordinare e sistematizzare le diverse disposizioni normative aventi ad oggetto la stessa mat</w:t>
      </w:r>
      <w:r w:rsidRPr="00C20E90">
        <w:t>e</w:t>
      </w:r>
      <w:r w:rsidRPr="00C20E90">
        <w:t>ria. Si tratta dunque di un impegno continuativo che garantisce il riordino del diritto esistente seppur rinu</w:t>
      </w:r>
      <w:r w:rsidRPr="00C20E90">
        <w:t>n</w:t>
      </w:r>
      <w:r w:rsidRPr="00C20E90">
        <w:t>ciando (almeno in una prima fase) a modifiche di tipo sostanziale. Come osservato, questo tipo di codific</w:t>
      </w:r>
      <w:r w:rsidRPr="00C20E90">
        <w:t>a</w:t>
      </w:r>
      <w:r w:rsidRPr="00C20E90">
        <w:t>zione necessita di un «forte supporto politico, per superare le inevitabili resistenze e i pericolosi fattori di inerzia». Il problema deriva dal fatto che si tratta di «un’opera poco attraente per i governi» poiché «i suoi effetti positivi si vedono in un termine che va al di là delle singole tornate elettorali e non sono facilmente imputabili»</w:t>
      </w:r>
      <w:r w:rsidRPr="00C20E90">
        <w:rPr>
          <w:rStyle w:val="FootnoteReference"/>
          <w:rFonts w:ascii="Garamond" w:hAnsi="Garamond" w:cs="Sylfaen"/>
          <w:sz w:val="24"/>
          <w:szCs w:val="24"/>
        </w:rPr>
        <w:footnoteReference w:id="28"/>
      </w:r>
      <w:r w:rsidRPr="00C20E90">
        <w:t xml:space="preserve">. </w:t>
      </w:r>
    </w:p>
    <w:p w:rsidR="008C522C" w:rsidRPr="00C20E90" w:rsidRDefault="008C522C" w:rsidP="00AC0445">
      <w:pPr>
        <w:pStyle w:val="TESTOCOMM"/>
      </w:pPr>
      <w:r w:rsidRPr="00C20E90">
        <w:t>Per potenziare questo programma -  quale base conoscitiva per impostare le misure di semplificazione - potrebbe essere utile valorizzare ulteriormente l’attività di ricognizione della normativa che, essendo prop</w:t>
      </w:r>
      <w:r w:rsidRPr="00C20E90">
        <w:t>e</w:t>
      </w:r>
      <w:r w:rsidRPr="00C20E90">
        <w:t>deutica alla compilazione del testo unico, è già in grado di evidenziare i “colli di bottiglia” e i maggiori pr</w:t>
      </w:r>
      <w:r w:rsidRPr="00C20E90">
        <w:t>o</w:t>
      </w:r>
      <w:r w:rsidRPr="00C20E90">
        <w:t xml:space="preserve">blemi legati all’esercizio dell’azione dei pubblici poteri. </w:t>
      </w:r>
    </w:p>
    <w:p w:rsidR="008C522C" w:rsidRPr="00C20E90" w:rsidRDefault="008C522C" w:rsidP="00AC0445">
      <w:pPr>
        <w:pStyle w:val="TESTOCOMM"/>
      </w:pPr>
      <w:r w:rsidRPr="00C20E90">
        <w:t>Inoltre, alla luce dell’esperienza fino ad oggi maturata dal governo sulla misurazione degli oneri</w:t>
      </w:r>
      <w:r w:rsidRPr="00C20E90">
        <w:rPr>
          <w:rStyle w:val="FootnoteReference"/>
          <w:rFonts w:ascii="Garamond" w:hAnsi="Garamond" w:cs="Sylfaen"/>
          <w:sz w:val="24"/>
          <w:szCs w:val="24"/>
        </w:rPr>
        <w:footnoteReference w:id="29"/>
      </w:r>
      <w:r w:rsidRPr="00C20E90">
        <w:t>, d</w:t>
      </w:r>
      <w:r w:rsidRPr="00C20E90">
        <w:t>o</w:t>
      </w:r>
      <w:r w:rsidRPr="00C20E90">
        <w:t>vrebbero essere preliminarmente individuate le aree di regolazione più onerose al fine di applicare la Moa esclusivamente ad esse. Si tratta, infatti, di utilizzare in modo selettivo e parsimonioso una tecnica, come la misurazione degli oneri, che si presenta particolarmente complessa poiché di lunga durata, che implica l’intervento di diversi soggetti con competenze di vario tipo, ma comunque a valenza specialistica e che r</w:t>
      </w:r>
      <w:r w:rsidRPr="00C20E90">
        <w:t>i</w:t>
      </w:r>
      <w:r w:rsidRPr="00C20E90">
        <w:t>chiede la costruzione di archivi e di banche dati</w:t>
      </w:r>
      <w:r w:rsidRPr="00C20E90">
        <w:rPr>
          <w:rStyle w:val="FootnoteReference"/>
          <w:rFonts w:ascii="Garamond" w:hAnsi="Garamond" w:cs="Sylfaen"/>
          <w:sz w:val="24"/>
          <w:szCs w:val="24"/>
        </w:rPr>
        <w:footnoteReference w:id="30"/>
      </w:r>
      <w:r w:rsidRPr="00C20E90">
        <w:t xml:space="preserve">. </w:t>
      </w:r>
    </w:p>
    <w:p w:rsidR="008C522C" w:rsidRPr="00C20E90" w:rsidRDefault="008C522C" w:rsidP="00AC0445">
      <w:pPr>
        <w:pStyle w:val="TIT1"/>
      </w:pPr>
      <w:r w:rsidRPr="00C20E90">
        <w:t xml:space="preserve">Parlamento e politica di semplificazione </w:t>
      </w:r>
    </w:p>
    <w:p w:rsidR="008C522C" w:rsidRPr="00C20E90" w:rsidRDefault="008C522C" w:rsidP="00AC0445">
      <w:pPr>
        <w:pStyle w:val="TESTOCOMM"/>
        <w:rPr>
          <w:rFonts w:cs="Arial"/>
        </w:rPr>
      </w:pPr>
      <w:r w:rsidRPr="00C20E90">
        <w:t>In Italia non è ancora sviluppata una cultura di stimolo, monitoraggio e controllo della politica di sempl</w:t>
      </w:r>
      <w:r w:rsidRPr="00C20E90">
        <w:t>i</w:t>
      </w:r>
      <w:r w:rsidRPr="00C20E90">
        <w:t xml:space="preserve">ficazione e, più in generale, di quella di </w:t>
      </w:r>
      <w:r w:rsidRPr="00C20E90">
        <w:rPr>
          <w:i/>
        </w:rPr>
        <w:t xml:space="preserve">better regulation </w:t>
      </w:r>
      <w:r w:rsidRPr="00C20E90">
        <w:t>da parte delle assemblee legislative</w:t>
      </w:r>
      <w:r w:rsidRPr="00C20E90">
        <w:rPr>
          <w:vertAlign w:val="superscript"/>
        </w:rPr>
        <w:footnoteReference w:id="31"/>
      </w:r>
      <w:r w:rsidRPr="00C20E90">
        <w:t>.</w:t>
      </w:r>
      <w:r w:rsidRPr="00C20E90">
        <w:rPr>
          <w:rFonts w:cs="Arial"/>
        </w:rPr>
        <w:t xml:space="preserve">Fino ad oggi, dunque, il tema della qualità della regolazione e della semplificazione è stato di esclusivo appannaggio dei governi che, peraltro, lo hanno sovente utilizzato in modo strumentale, con finalità mediatiche. </w:t>
      </w:r>
    </w:p>
    <w:p w:rsidR="008C522C" w:rsidRPr="00C20E90" w:rsidRDefault="008C522C" w:rsidP="00AC0445">
      <w:pPr>
        <w:pStyle w:val="TESTOCOMM"/>
        <w:rPr>
          <w:rFonts w:cs="Arial"/>
        </w:rPr>
      </w:pPr>
      <w:r w:rsidRPr="00C20E90">
        <w:rPr>
          <w:rFonts w:cs="Arial"/>
        </w:rPr>
        <w:t>Poco incisivo finora si è invece dimostrato l’impegno del Parlamento e la storia della stessa Commissi</w:t>
      </w:r>
      <w:r w:rsidRPr="00C20E90">
        <w:rPr>
          <w:rFonts w:cs="Arial"/>
        </w:rPr>
        <w:t>o</w:t>
      </w:r>
      <w:r w:rsidRPr="00C20E90">
        <w:rPr>
          <w:rFonts w:cs="Arial"/>
        </w:rPr>
        <w:t>ne bicamerale ne costituisce una prova significativa. Quest’organo ha avuto un ruolo pregnante solo nella sua prima stagione - durante la XIII Legislatura -  in occasione dell’attuazione della legge n. 59 del 1997 quando, tuttavia, la semplificazione non costituiva l’oggetto principale dei suoi lavori, ma solo una delle p</w:t>
      </w:r>
      <w:r w:rsidRPr="00C20E90">
        <w:rPr>
          <w:rFonts w:cs="Arial"/>
        </w:rPr>
        <w:t>o</w:t>
      </w:r>
      <w:r w:rsidRPr="00C20E90">
        <w:rPr>
          <w:rFonts w:cs="Arial"/>
        </w:rPr>
        <w:t xml:space="preserve">litiche della complessiva riforma organizzativa dello Stato e del suo disegno istituzionale. Viceversa, nelle ultime Legislature - quando la Commissione per la semplificazione ha avuto come interesse pressoché </w:t>
      </w:r>
      <w:r w:rsidRPr="00C20E90">
        <w:rPr>
          <w:rFonts w:cs="Arial"/>
        </w:rPr>
        <w:t>e</w:t>
      </w:r>
      <w:r w:rsidRPr="00C20E90">
        <w:rPr>
          <w:rFonts w:cs="Arial"/>
        </w:rPr>
        <w:t>sclusivo l’attuazione del «taglia-leggi» - si è dovuto registrare un diffuso disinteresse per i suoi lavori da parte dei suoi stessi componenti, al punto che, in varie occasioni,  non è stato nemmeno possibile rendere un formale parere sugli schemi dei decreti legislativi di riordino normativo presentati dal Governo, per ma</w:t>
      </w:r>
      <w:r w:rsidRPr="00C20E90">
        <w:rPr>
          <w:rFonts w:cs="Arial"/>
        </w:rPr>
        <w:t>n</w:t>
      </w:r>
      <w:r w:rsidRPr="00C20E90">
        <w:rPr>
          <w:rFonts w:cs="Arial"/>
        </w:rPr>
        <w:t xml:space="preserve">canza del numero legale; i pareri trasmessi, poi, contenevano solo </w:t>
      </w:r>
      <w:r w:rsidRPr="00C20E90">
        <w:rPr>
          <w:rFonts w:cs="Arial"/>
          <w:i/>
        </w:rPr>
        <w:t>osservazioni</w:t>
      </w:r>
      <w:r w:rsidRPr="00C20E90">
        <w:rPr>
          <w:rFonts w:cs="Arial"/>
        </w:rPr>
        <w:t xml:space="preserve"> e mai </w:t>
      </w:r>
      <w:r w:rsidRPr="00C20E90">
        <w:rPr>
          <w:rFonts w:cs="Arial"/>
          <w:i/>
        </w:rPr>
        <w:t xml:space="preserve">condizioni </w:t>
      </w:r>
      <w:r w:rsidRPr="00C20E90">
        <w:rPr>
          <w:rFonts w:cs="Arial"/>
        </w:rPr>
        <w:t>(che, ai sensi dell’art. 14, c. 22, l. n. 246 del 2005, avrebbero avuto efficacia semi-vincolante) sintomo di una ev</w:t>
      </w:r>
      <w:r w:rsidRPr="00C20E90">
        <w:rPr>
          <w:rFonts w:cs="Arial"/>
        </w:rPr>
        <w:t>i</w:t>
      </w:r>
      <w:r w:rsidRPr="00C20E90">
        <w:rPr>
          <w:rFonts w:cs="Arial"/>
        </w:rPr>
        <w:t xml:space="preserve">dente strategia di </w:t>
      </w:r>
      <w:r w:rsidRPr="00C20E90">
        <w:rPr>
          <w:rFonts w:cs="Arial"/>
          <w:i/>
        </w:rPr>
        <w:t>self-restraint</w:t>
      </w:r>
      <w:r w:rsidRPr="00C20E90">
        <w:rPr>
          <w:rFonts w:cs="Arial"/>
        </w:rPr>
        <w:t xml:space="preserve"> dell’organo</w:t>
      </w:r>
      <w:r w:rsidRPr="00C20E90">
        <w:rPr>
          <w:rFonts w:cs="Arial"/>
          <w:vertAlign w:val="superscript"/>
        </w:rPr>
        <w:footnoteReference w:id="32"/>
      </w:r>
      <w:r w:rsidRPr="00C20E90">
        <w:rPr>
          <w:rFonts w:cs="Arial"/>
        </w:rPr>
        <w:t>.</w:t>
      </w:r>
    </w:p>
    <w:p w:rsidR="008C522C" w:rsidRPr="00C20E90" w:rsidRDefault="008C522C" w:rsidP="00AC0445">
      <w:pPr>
        <w:pStyle w:val="TESTOCOMM"/>
        <w:rPr>
          <w:rFonts w:cs="Arial"/>
        </w:rPr>
      </w:pPr>
      <w:r w:rsidRPr="00C20E90">
        <w:rPr>
          <w:rFonts w:cs="Arial"/>
        </w:rPr>
        <w:t>Occorre dunque rilanciare il ruolo e il coinvolgimento del Parlamento nella programmazione e nell’attuazione delle politiche di semplificazione, adeguando l’ordinamento italiano alle migliori pratiche internazionali che, anche in questo campo, vedono affidare al potere legislativo, nell’ambito dei propri pot</w:t>
      </w:r>
      <w:r w:rsidRPr="00C20E90">
        <w:rPr>
          <w:rFonts w:cs="Arial"/>
        </w:rPr>
        <w:t>e</w:t>
      </w:r>
      <w:r w:rsidRPr="00C20E90">
        <w:rPr>
          <w:rFonts w:cs="Arial"/>
        </w:rPr>
        <w:t xml:space="preserve">ri di indirizzo e di controllo, un’indispensabile funzione </w:t>
      </w:r>
      <w:r w:rsidRPr="00C20E90">
        <w:t>di guardiano e di pungolo del sistema decisionale. Particolarmente significativa, tra le altre, è l’esperienza statunitense, dove alla “</w:t>
      </w:r>
      <w:r w:rsidRPr="00C20E90">
        <w:rPr>
          <w:i/>
        </w:rPr>
        <w:t>Subcommittee on Investig</w:t>
      </w:r>
      <w:r w:rsidRPr="00C20E90">
        <w:rPr>
          <w:i/>
        </w:rPr>
        <w:t>a</w:t>
      </w:r>
      <w:r w:rsidRPr="00C20E90">
        <w:rPr>
          <w:i/>
        </w:rPr>
        <w:t>tion, oversight and Regulation</w:t>
      </w:r>
      <w:r w:rsidRPr="00C20E90">
        <w:t>” del Congresso è affidato il compito di assicurare che le istanze di semplif</w:t>
      </w:r>
      <w:r w:rsidRPr="00C20E90">
        <w:t>i</w:t>
      </w:r>
      <w:r w:rsidRPr="00C20E90">
        <w:t xml:space="preserve">cazione a favore delle piccole e medie imprese siano tenute in adeguata considerazione durante l’istruttoria legislativa; e tramite l’opera di monitoraggio e </w:t>
      </w:r>
      <w:r w:rsidRPr="00C20E90">
        <w:rPr>
          <w:i/>
        </w:rPr>
        <w:t>reporting</w:t>
      </w:r>
      <w:r w:rsidRPr="00C20E90">
        <w:t xml:space="preserve"> del  </w:t>
      </w:r>
      <w:r w:rsidRPr="00C20E90">
        <w:rPr>
          <w:i/>
        </w:rPr>
        <w:t>Government Accountability Office</w:t>
      </w:r>
      <w:r w:rsidRPr="00C20E90">
        <w:t xml:space="preserve"> (Gao), il potere legislativo è in grado di verificare </w:t>
      </w:r>
      <w:r w:rsidRPr="00C20E90">
        <w:rPr>
          <w:i/>
        </w:rPr>
        <w:t>ex post</w:t>
      </w:r>
      <w:r w:rsidRPr="00C20E90">
        <w:t xml:space="preserve"> l’efficace attuazione delle politiche di </w:t>
      </w:r>
      <w:r w:rsidRPr="00C20E90">
        <w:rPr>
          <w:i/>
        </w:rPr>
        <w:t>better regulation</w:t>
      </w:r>
      <w:r w:rsidRPr="00C20E90">
        <w:t xml:space="preserve"> da parte dell’amministrazione presidenziale</w:t>
      </w:r>
      <w:r w:rsidRPr="00C20E90">
        <w:rPr>
          <w:vertAlign w:val="superscript"/>
        </w:rPr>
        <w:footnoteReference w:id="33"/>
      </w:r>
      <w:r w:rsidRPr="00C20E90">
        <w:rPr>
          <w:i/>
        </w:rPr>
        <w:t>.</w:t>
      </w:r>
    </w:p>
    <w:p w:rsidR="008C522C" w:rsidRPr="00C20E90" w:rsidRDefault="008C522C" w:rsidP="00AC0445">
      <w:pPr>
        <w:pStyle w:val="TESTOCOMM"/>
        <w:rPr>
          <w:rFonts w:cs="Arial"/>
        </w:rPr>
      </w:pPr>
      <w:r w:rsidRPr="00C20E90">
        <w:rPr>
          <w:rFonts w:cs="Arial"/>
        </w:rPr>
        <w:t xml:space="preserve">In questa logica, deve essere rafforzato il legame inter-istituzionale tra Governo e Parlamento al fine di assicurare la condivisione delle politiche di semplificazione lungo tutto il percorso dalla progettazione, all’approvazione e fino all’attuazione degli interventi. Lungo questa linea di azione si muove il </w:t>
      </w:r>
      <w:r w:rsidRPr="00C20E90">
        <w:rPr>
          <w:rFonts w:cs="Arial"/>
          <w:i/>
        </w:rPr>
        <w:t>documento conclusivo</w:t>
      </w:r>
      <w:r w:rsidRPr="00C20E90">
        <w:rPr>
          <w:rFonts w:cs="Arial"/>
        </w:rPr>
        <w:t xml:space="preserve"> dell’indagine che, nel par. 7 (</w:t>
      </w:r>
      <w:r w:rsidRPr="00C20E90">
        <w:rPr>
          <w:rFonts w:cs="Arial"/>
          <w:i/>
        </w:rPr>
        <w:t>Linee di azione della Commissione</w:t>
      </w:r>
      <w:r w:rsidRPr="00C20E90">
        <w:rPr>
          <w:rFonts w:cs="Arial"/>
        </w:rPr>
        <w:t>), riconosce la necessità di aff</w:t>
      </w:r>
      <w:r w:rsidRPr="00C20E90">
        <w:rPr>
          <w:rFonts w:cs="Arial"/>
        </w:rPr>
        <w:t>i</w:t>
      </w:r>
      <w:r w:rsidRPr="00C20E90">
        <w:rPr>
          <w:rFonts w:cs="Arial"/>
        </w:rPr>
        <w:t>dare alla Commissione bicamerale per la semplificazione «un ruolo a tutto campo, che le permetta di vigil</w:t>
      </w:r>
      <w:r w:rsidRPr="00C20E90">
        <w:rPr>
          <w:rFonts w:cs="Arial"/>
        </w:rPr>
        <w:t>a</w:t>
      </w:r>
      <w:r w:rsidRPr="00C20E90">
        <w:rPr>
          <w:rFonts w:cs="Arial"/>
        </w:rPr>
        <w:t>re sulla attuazione delle norme vigenti, sollecitando il Governo all’attuazione delle migliori pratiche»</w:t>
      </w:r>
      <w:r w:rsidRPr="00C20E90">
        <w:rPr>
          <w:rFonts w:cs="Arial"/>
          <w:vertAlign w:val="superscript"/>
        </w:rPr>
        <w:footnoteReference w:id="34"/>
      </w:r>
      <w:r w:rsidRPr="00C20E90">
        <w:rPr>
          <w:rFonts w:cs="Arial"/>
        </w:rPr>
        <w:t xml:space="preserve">. </w:t>
      </w:r>
    </w:p>
    <w:p w:rsidR="008C522C" w:rsidRPr="003D53B8" w:rsidRDefault="008C522C" w:rsidP="00AC0445">
      <w:pPr>
        <w:pStyle w:val="TESTOCOMM"/>
        <w:rPr>
          <w:rFonts w:cs="Arial"/>
        </w:rPr>
      </w:pPr>
      <w:r w:rsidRPr="00C20E90">
        <w:rPr>
          <w:rFonts w:cs="Arial"/>
        </w:rPr>
        <w:t>Si tratta di una proposta ambiziosa per la cui realizzazione occorre adottare apposite iniziative legislative (ordinarie e costituzionali); modificare i regolamenti parlamentari; modificare la stessa prassi di lavoro della Commissione. In particolare è necessario, da un lato, integrare gli strumenti di indirizzo e controllo a disp</w:t>
      </w:r>
      <w:r w:rsidRPr="00C20E90">
        <w:rPr>
          <w:rFonts w:cs="Arial"/>
        </w:rPr>
        <w:t>o</w:t>
      </w:r>
      <w:r w:rsidRPr="00C20E90">
        <w:rPr>
          <w:rFonts w:cs="Arial"/>
        </w:rPr>
        <w:t xml:space="preserve">sizione della Commissione bicamerale, così da renderla un effettivo </w:t>
      </w:r>
      <w:r w:rsidRPr="00C20E90">
        <w:rPr>
          <w:rFonts w:cs="Arial"/>
          <w:i/>
        </w:rPr>
        <w:t>watchdog</w:t>
      </w:r>
      <w:r w:rsidRPr="00C20E90">
        <w:rPr>
          <w:rFonts w:cs="Arial"/>
        </w:rPr>
        <w:t xml:space="preserve"> a presidio della semplific</w:t>
      </w:r>
      <w:r w:rsidRPr="00C20E90">
        <w:rPr>
          <w:rFonts w:cs="Arial"/>
        </w:rPr>
        <w:t>a</w:t>
      </w:r>
      <w:r w:rsidRPr="00C20E90">
        <w:rPr>
          <w:rFonts w:cs="Arial"/>
        </w:rPr>
        <w:t>zione; dall’altro lato rendere maggiormente vincolanti per il Governo le indicazioni, i pareri e le risultanze delle indagini effettuate dalla Commissione stessa. Tra le misure concrete indicate dal documento per rila</w:t>
      </w:r>
      <w:r w:rsidRPr="00C20E90">
        <w:rPr>
          <w:rFonts w:cs="Arial"/>
        </w:rPr>
        <w:t>n</w:t>
      </w:r>
      <w:r w:rsidRPr="00C20E90">
        <w:rPr>
          <w:rFonts w:cs="Arial"/>
        </w:rPr>
        <w:t>ciare il ruolo della Commissione bicamerale, si segnalano: l’intensificazione della azione di indirizzo nei confronti del Governo, anche tramite un maggiore coinvolgimento dei membri della Commissione e il più incisivo e frequente ricorso alla presentazione di mozioni, risoluzioni ed ordini del giorno per porre al ce</w:t>
      </w:r>
      <w:r w:rsidRPr="00C20E90">
        <w:rPr>
          <w:rFonts w:cs="Arial"/>
        </w:rPr>
        <w:t>n</w:t>
      </w:r>
      <w:r w:rsidRPr="00C20E90">
        <w:rPr>
          <w:rFonts w:cs="Arial"/>
        </w:rPr>
        <w:t>tro dell’agenda parlamentare le questioni prioritarie in materia di semplificazione; prevedere che la Co</w:t>
      </w:r>
      <w:r w:rsidRPr="00C20E90">
        <w:rPr>
          <w:rFonts w:cs="Arial"/>
        </w:rPr>
        <w:t>m</w:t>
      </w:r>
      <w:r w:rsidRPr="00C20E90">
        <w:rPr>
          <w:rFonts w:cs="Arial"/>
        </w:rPr>
        <w:t>missione possa pronunciarsi, in sede consultiva, su tutti i provvedimenti (leggi, decreti legislativi e regol</w:t>
      </w:r>
      <w:r w:rsidRPr="00C20E90">
        <w:rPr>
          <w:rFonts w:cs="Arial"/>
        </w:rPr>
        <w:t>a</w:t>
      </w:r>
      <w:r w:rsidRPr="00C20E90">
        <w:rPr>
          <w:rFonts w:cs="Arial"/>
        </w:rPr>
        <w:t>mentari governativi) che incidono sugli oneri amministrativi a carico di cittadini e imprese; introdurre per legge apposite procedure di programmazione degli interventi normativi, affidando proprio alla Commissi</w:t>
      </w:r>
      <w:r w:rsidRPr="00C20E90">
        <w:rPr>
          <w:rFonts w:cs="Arial"/>
        </w:rPr>
        <w:t>o</w:t>
      </w:r>
      <w:r w:rsidRPr="00C20E90">
        <w:rPr>
          <w:rFonts w:cs="Arial"/>
        </w:rPr>
        <w:t>ne i compiti di monitoraggio della normativa vigente, al fine di formulare «le proposte ritenute opportune per rendere più coordinata ed incisiva l’iniziativa dello Stato in materia di semplificazione normativa e a</w:t>
      </w:r>
      <w:r w:rsidRPr="00C20E90">
        <w:rPr>
          <w:rFonts w:cs="Arial"/>
        </w:rPr>
        <w:t>m</w:t>
      </w:r>
      <w:r w:rsidRPr="00C20E90">
        <w:rPr>
          <w:rFonts w:cs="Arial"/>
        </w:rPr>
        <w:t>ministrativa</w:t>
      </w:r>
      <w:r w:rsidRPr="00C20E90">
        <w:t>»</w:t>
      </w:r>
      <w:r w:rsidRPr="00C20E90">
        <w:rPr>
          <w:rFonts w:cs="Arial"/>
        </w:rPr>
        <w:t>.</w:t>
      </w:r>
      <w:r w:rsidRPr="003D53B8">
        <w:rPr>
          <w:rFonts w:cs="Arial"/>
        </w:rPr>
        <w:t xml:space="preserve"> </w:t>
      </w:r>
    </w:p>
    <w:sectPr w:rsidR="008C522C" w:rsidRPr="003D53B8" w:rsidSect="00B95FBA">
      <w:type w:val="continuous"/>
      <w:pgSz w:w="11906" w:h="16838" w:code="9"/>
      <w:pgMar w:top="1418" w:right="964" w:bottom="1418" w:left="964" w:header="567" w:footer="56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22C" w:rsidRDefault="008C522C">
      <w:r>
        <w:separator/>
      </w:r>
    </w:p>
  </w:endnote>
  <w:endnote w:type="continuationSeparator" w:id="0">
    <w:p w:rsidR="008C522C" w:rsidRDefault="008C5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Ten-Roman">
    <w:panose1 w:val="00000000000000000000"/>
    <w:charset w:val="00"/>
    <w:family w:val="swiss"/>
    <w:notTrueType/>
    <w:pitch w:val="default"/>
    <w:sig w:usb0="00000003" w:usb1="00000000" w:usb2="00000000" w:usb3="00000000" w:csb0="00000001" w:csb1="00000000"/>
  </w:font>
  <w:font w:name="TimesTen-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22C" w:rsidRDefault="008C522C">
      <w:r>
        <w:separator/>
      </w:r>
    </w:p>
  </w:footnote>
  <w:footnote w:type="continuationSeparator" w:id="0">
    <w:p w:rsidR="008C522C" w:rsidRDefault="008C522C">
      <w:r>
        <w:continuationSeparator/>
      </w:r>
    </w:p>
  </w:footnote>
  <w:footnote w:id="1">
    <w:p w:rsidR="008C522C" w:rsidRDefault="008C522C" w:rsidP="00612A13">
      <w:pPr>
        <w:pStyle w:val="TN"/>
      </w:pPr>
      <w:r w:rsidRPr="00DB0A69">
        <w:rPr>
          <w:rStyle w:val="FootnoteReference"/>
          <w:rFonts w:ascii="Garamond" w:hAnsi="Garamond" w:cs="Arial"/>
        </w:rPr>
        <w:footnoteRef/>
      </w:r>
      <w:r w:rsidRPr="00DB0A69">
        <w:t xml:space="preserve"> Commissione parlamentare per la semplificazione, Documento conclusivo dell’indagine conoscitiva sulla semplificazione legislativa e amministrativa, in </w:t>
      </w:r>
      <w:r w:rsidRPr="00592ACD">
        <w:rPr>
          <w:i/>
        </w:rPr>
        <w:t>Atti parlamentari, XVII Legislatura, Bollettino delle Giunte e delle Commissioni Parlamentari</w:t>
      </w:r>
      <w:r w:rsidRPr="00DB0A69">
        <w:t xml:space="preserve">, Lunedì 31 marzo 2014, p. 27 (disponibile alla pag. web </w:t>
      </w:r>
      <w:r w:rsidRPr="00D4433F">
        <w:rPr>
          <w:i/>
        </w:rPr>
        <w:t>http://www.senato.it/leg/17/BGT/Schede/ProcANL/ProcANLscheda28340.htm</w:t>
      </w:r>
      <w:r w:rsidRPr="00DB0A69">
        <w:t>).</w:t>
      </w:r>
    </w:p>
  </w:footnote>
  <w:footnote w:id="2">
    <w:p w:rsidR="008C522C" w:rsidRDefault="008C522C" w:rsidP="00612A13">
      <w:pPr>
        <w:pStyle w:val="TN"/>
      </w:pPr>
      <w:r w:rsidRPr="00DB0A69">
        <w:rPr>
          <w:rStyle w:val="FootnoteReference"/>
          <w:rFonts w:ascii="Garamond" w:hAnsi="Garamond" w:cs="Arial"/>
        </w:rPr>
        <w:footnoteRef/>
      </w:r>
      <w:r w:rsidRPr="00DB0A69">
        <w:t xml:space="preserve"> S. Amorosino</w:t>
      </w:r>
      <w:r w:rsidRPr="00C20E90">
        <w:rPr>
          <w:i/>
        </w:rPr>
        <w:t>, La semplificazione amministrativa e le recenti modifiche normative alla disciplina generale del procedimento</w:t>
      </w:r>
      <w:r w:rsidRPr="00C20E90">
        <w:t>, in</w:t>
      </w:r>
      <w:r w:rsidRPr="00DB0A69">
        <w:t xml:space="preserve"> Foro amm</w:t>
      </w:r>
      <w:r>
        <w:t xml:space="preserve">. </w:t>
      </w:r>
      <w:r w:rsidRPr="00DB0A69">
        <w:t>-</w:t>
      </w:r>
      <w:r>
        <w:t xml:space="preserve"> </w:t>
      </w:r>
      <w:r w:rsidRPr="00DB0A69">
        <w:t>Tar, 2005, 2635 ss. Sul tema si veda</w:t>
      </w:r>
      <w:r>
        <w:t>no</w:t>
      </w:r>
      <w:r w:rsidRPr="00DB0A69">
        <w:t>, più in generale,</w:t>
      </w:r>
      <w:r w:rsidRPr="00DB0A69">
        <w:rPr>
          <w:rFonts w:cs="Times New Roman"/>
        </w:rPr>
        <w:t xml:space="preserve"> A. Natalini e G. Tiberi (a cura di)</w:t>
      </w:r>
      <w:r>
        <w:rPr>
          <w:rFonts w:cs="Times New Roman"/>
        </w:rPr>
        <w:t>,</w:t>
      </w:r>
      <w:r w:rsidRPr="00DB0A69">
        <w:rPr>
          <w:rFonts w:cs="Times New Roman"/>
        </w:rPr>
        <w:t xml:space="preserve"> </w:t>
      </w:r>
      <w:r w:rsidRPr="00D4433F">
        <w:rPr>
          <w:rFonts w:cs="Times New Roman"/>
          <w:i/>
        </w:rPr>
        <w:t>La tela di Penelope. Primo rappo</w:t>
      </w:r>
      <w:r w:rsidRPr="00D4433F">
        <w:rPr>
          <w:rFonts w:cs="Times New Roman"/>
          <w:i/>
        </w:rPr>
        <w:t>r</w:t>
      </w:r>
      <w:r w:rsidRPr="00D4433F">
        <w:rPr>
          <w:rFonts w:cs="Times New Roman"/>
          <w:i/>
        </w:rPr>
        <w:t>to Astrid sulla semplificazione legislativa e burocratica</w:t>
      </w:r>
      <w:r w:rsidRPr="00DB0A69">
        <w:rPr>
          <w:rFonts w:cs="Times New Roman"/>
        </w:rPr>
        <w:t xml:space="preserve">, Bologna, 2010; S. Cassese, </w:t>
      </w:r>
      <w:r w:rsidRPr="00D4433F">
        <w:rPr>
          <w:rFonts w:cs="Times New Roman"/>
          <w:i/>
        </w:rPr>
        <w:t>La semplificazione amministrativa e l’orologio di Taylor</w:t>
      </w:r>
      <w:r w:rsidRPr="00DB0A69">
        <w:rPr>
          <w:rFonts w:cs="Times New Roman"/>
        </w:rPr>
        <w:t xml:space="preserve">, in </w:t>
      </w:r>
      <w:r w:rsidRPr="00D4433F">
        <w:rPr>
          <w:rFonts w:cs="Times New Roman"/>
          <w:i/>
        </w:rPr>
        <w:t>Riv. trim. di</w:t>
      </w:r>
      <w:r w:rsidRPr="00C20E90">
        <w:rPr>
          <w:rFonts w:cs="Times New Roman"/>
          <w:i/>
        </w:rPr>
        <w:t>r. pubb.</w:t>
      </w:r>
      <w:r w:rsidRPr="00C20E90">
        <w:rPr>
          <w:rFonts w:cs="Times New Roman"/>
        </w:rPr>
        <w:t xml:space="preserve">, 1998, 699 ss; G. Vesperini, </w:t>
      </w:r>
      <w:r w:rsidRPr="00C20E90">
        <w:rPr>
          <w:rFonts w:cs="Times New Roman"/>
          <w:i/>
        </w:rPr>
        <w:t>La semplificazione dei procedimenti amministrativi</w:t>
      </w:r>
      <w:r w:rsidRPr="00C20E90">
        <w:rPr>
          <w:rFonts w:cs="Times New Roman"/>
        </w:rPr>
        <w:t xml:space="preserve">, in </w:t>
      </w:r>
      <w:r w:rsidRPr="00C20E90">
        <w:rPr>
          <w:rFonts w:cs="Times New Roman"/>
          <w:i/>
        </w:rPr>
        <w:t>Riv. trim. dir. pubb</w:t>
      </w:r>
      <w:r w:rsidRPr="00C20E90">
        <w:rPr>
          <w:rFonts w:cs="Times New Roman"/>
        </w:rPr>
        <w:t xml:space="preserve">., 1998, 655 ss; L. Torchia, </w:t>
      </w:r>
      <w:r w:rsidRPr="00C20E90">
        <w:rPr>
          <w:rFonts w:cs="Times New Roman"/>
          <w:i/>
        </w:rPr>
        <w:t>Tendenze recenti della semplificazione amministrativa,</w:t>
      </w:r>
      <w:r w:rsidRPr="00C20E90">
        <w:rPr>
          <w:rFonts w:cs="Times New Roman"/>
        </w:rPr>
        <w:t xml:space="preserve"> in </w:t>
      </w:r>
      <w:r w:rsidRPr="00C20E90">
        <w:rPr>
          <w:rFonts w:cs="Times New Roman"/>
          <w:i/>
        </w:rPr>
        <w:t>Dir. amm</w:t>
      </w:r>
      <w:r w:rsidRPr="00C20E90">
        <w:rPr>
          <w:rFonts w:cs="Times New Roman"/>
        </w:rPr>
        <w:t>., 1998, 385 ss.; V. Cerulli Irelli, F. L</w:t>
      </w:r>
      <w:r w:rsidRPr="00C20E90">
        <w:rPr>
          <w:rFonts w:cs="Times New Roman"/>
        </w:rPr>
        <w:t>u</w:t>
      </w:r>
      <w:r w:rsidRPr="00C20E90">
        <w:rPr>
          <w:rFonts w:cs="Times New Roman"/>
        </w:rPr>
        <w:t xml:space="preserve">ciani, </w:t>
      </w:r>
      <w:r w:rsidRPr="00C20E90">
        <w:rPr>
          <w:rFonts w:cs="Times New Roman"/>
          <w:i/>
        </w:rPr>
        <w:t>La semplificazione dell’azione amministrativ</w:t>
      </w:r>
      <w:r w:rsidRPr="00D4433F">
        <w:rPr>
          <w:rFonts w:cs="Times New Roman"/>
          <w:i/>
        </w:rPr>
        <w:t>a</w:t>
      </w:r>
      <w:r w:rsidRPr="00505D90">
        <w:rPr>
          <w:rFonts w:cs="Times New Roman"/>
        </w:rPr>
        <w:t>,</w:t>
      </w:r>
      <w:r w:rsidRPr="00DB0A69">
        <w:rPr>
          <w:rFonts w:cs="Times New Roman"/>
        </w:rPr>
        <w:t xml:space="preserve"> in </w:t>
      </w:r>
      <w:r w:rsidRPr="00D4433F">
        <w:rPr>
          <w:rFonts w:cs="Times New Roman"/>
          <w:i/>
        </w:rPr>
        <w:t>Dir. amm</w:t>
      </w:r>
      <w:r w:rsidRPr="00DB0A69">
        <w:rPr>
          <w:rFonts w:cs="Times New Roman"/>
        </w:rPr>
        <w:t xml:space="preserve">., 2000, 617 ss.; G. Vesperini, </w:t>
      </w:r>
      <w:r w:rsidRPr="00D4433F">
        <w:rPr>
          <w:rFonts w:cs="Times New Roman"/>
          <w:i/>
        </w:rPr>
        <w:t>La riforma dei procedimenti ammin</w:t>
      </w:r>
      <w:r w:rsidRPr="00D4433F">
        <w:rPr>
          <w:rFonts w:cs="Times New Roman"/>
          <w:i/>
        </w:rPr>
        <w:t>i</w:t>
      </w:r>
      <w:r w:rsidRPr="00D4433F">
        <w:rPr>
          <w:rFonts w:cs="Times New Roman"/>
          <w:i/>
        </w:rPr>
        <w:t>strativi</w:t>
      </w:r>
      <w:r w:rsidRPr="00DB0A69">
        <w:rPr>
          <w:rFonts w:cs="Times New Roman"/>
        </w:rPr>
        <w:t>, in G. de Caprariis, G. Vesperini (a cura di</w:t>
      </w:r>
      <w:r w:rsidRPr="00D4433F">
        <w:rPr>
          <w:rFonts w:cs="Times New Roman"/>
          <w:i/>
        </w:rPr>
        <w:t>), L’Italia da semplificare. Le regole e le procedure</w:t>
      </w:r>
      <w:r w:rsidRPr="00DB0A69">
        <w:rPr>
          <w:rFonts w:cs="Times New Roman"/>
        </w:rPr>
        <w:t>, Bologna, 1998;</w:t>
      </w:r>
      <w:r w:rsidRPr="00DB0A69">
        <w:t xml:space="preserve"> A. Natalini, </w:t>
      </w:r>
      <w:r w:rsidRPr="00D4433F">
        <w:rPr>
          <w:i/>
        </w:rPr>
        <w:t>Le semplificazioni amministrative,</w:t>
      </w:r>
      <w:r w:rsidRPr="00DB0A69">
        <w:t xml:space="preserve"> Bologna, 2002; M. Clarich, </w:t>
      </w:r>
      <w:r w:rsidRPr="00D4433F">
        <w:rPr>
          <w:i/>
        </w:rPr>
        <w:t>La semplificazione dei procedimenti amministrativi</w:t>
      </w:r>
      <w:r w:rsidRPr="00DB0A69">
        <w:t xml:space="preserve">, in </w:t>
      </w:r>
      <w:r w:rsidRPr="00D4433F">
        <w:rPr>
          <w:i/>
        </w:rPr>
        <w:t>Riv. trim. dir. pubb</w:t>
      </w:r>
      <w:r w:rsidRPr="00DB0A69">
        <w:t>., 1998, 655 ss.</w:t>
      </w:r>
    </w:p>
  </w:footnote>
  <w:footnote w:id="3">
    <w:p w:rsidR="008C522C" w:rsidRDefault="008C522C" w:rsidP="00612A13">
      <w:pPr>
        <w:pStyle w:val="TN"/>
      </w:pPr>
      <w:r w:rsidRPr="00DB0A69">
        <w:rPr>
          <w:rStyle w:val="FootnoteReference"/>
          <w:rFonts w:ascii="Garamond" w:hAnsi="Garamond" w:cs="Arial"/>
        </w:rPr>
        <w:footnoteRef/>
      </w:r>
      <w:r w:rsidRPr="00DB0A69">
        <w:t xml:space="preserve"> Commissione parlamentare per la semplificazione, </w:t>
      </w:r>
      <w:r w:rsidRPr="00DB0A69">
        <w:rPr>
          <w:i/>
        </w:rPr>
        <w:t>Documento conclusivo</w:t>
      </w:r>
      <w:r w:rsidRPr="00DB0A69">
        <w:t>,</w:t>
      </w:r>
      <w:r w:rsidRPr="00DB0A69">
        <w:rPr>
          <w:i/>
        </w:rPr>
        <w:t xml:space="preserve"> </w:t>
      </w:r>
      <w:r w:rsidRPr="00DB0A69">
        <w:t>cit.,</w:t>
      </w:r>
      <w:r w:rsidRPr="00DB0A69">
        <w:rPr>
          <w:i/>
        </w:rPr>
        <w:t xml:space="preserve"> </w:t>
      </w:r>
      <w:r w:rsidRPr="00DB0A69">
        <w:t>34.</w:t>
      </w:r>
    </w:p>
  </w:footnote>
  <w:footnote w:id="4">
    <w:p w:rsidR="008C522C" w:rsidRDefault="008C522C" w:rsidP="00612A13">
      <w:pPr>
        <w:pStyle w:val="TN"/>
      </w:pPr>
      <w:r w:rsidRPr="00DB0A69">
        <w:rPr>
          <w:rStyle w:val="FootnoteReference"/>
          <w:rFonts w:ascii="Garamond" w:hAnsi="Garamond" w:cs="Arial"/>
        </w:rPr>
        <w:footnoteRef/>
      </w:r>
      <w:r w:rsidRPr="00DB0A69">
        <w:t xml:space="preserve"> Sul cd. </w:t>
      </w:r>
      <w:r>
        <w:t>«</w:t>
      </w:r>
      <w:r w:rsidRPr="00DB0A69">
        <w:t>taglia-leggi</w:t>
      </w:r>
      <w:r>
        <w:t>»</w:t>
      </w:r>
      <w:r w:rsidRPr="00DB0A69">
        <w:t xml:space="preserve"> si veda</w:t>
      </w:r>
      <w:r>
        <w:t>no</w:t>
      </w:r>
      <w:r w:rsidRPr="00DB0A69">
        <w:t xml:space="preserve">, tra gli altri, N. Lupo, B.G. Mattarella, </w:t>
      </w:r>
      <w:r w:rsidRPr="00DB0A69">
        <w:rPr>
          <w:i/>
        </w:rPr>
        <w:t>La codificazione e il T</w:t>
      </w:r>
      <w:r>
        <w:rPr>
          <w:i/>
        </w:rPr>
        <w:t>aglia-Leggi a livello statale: i</w:t>
      </w:r>
      <w:r w:rsidRPr="00DB0A69">
        <w:rPr>
          <w:i/>
        </w:rPr>
        <w:t xml:space="preserve">mmagine o </w:t>
      </w:r>
      <w:r w:rsidRPr="00505D90">
        <w:rPr>
          <w:i/>
        </w:rPr>
        <w:t>sostanza?</w:t>
      </w:r>
      <w:r w:rsidRPr="00DB0A69">
        <w:t xml:space="preserve">, in A. Natalini, G. Tiberi, </w:t>
      </w:r>
      <w:r w:rsidRPr="00DB0A69">
        <w:rPr>
          <w:i/>
        </w:rPr>
        <w:t>La tela di Penelope</w:t>
      </w:r>
      <w:r w:rsidRPr="00DB0A69">
        <w:t xml:space="preserve">, cit., pp. 391 ss.; N. Lupo, </w:t>
      </w:r>
      <w:r>
        <w:rPr>
          <w:i/>
        </w:rPr>
        <w:t>Dalla delega ai decreti legge</w:t>
      </w:r>
      <w:r w:rsidRPr="00DB0A69">
        <w:rPr>
          <w:i/>
        </w:rPr>
        <w:t xml:space="preserve"> “Taglia-leggi”: cont</w:t>
      </w:r>
      <w:r w:rsidRPr="00DB0A69">
        <w:rPr>
          <w:i/>
        </w:rPr>
        <w:t>i</w:t>
      </w:r>
      <w:r w:rsidRPr="00DB0A69">
        <w:rPr>
          <w:i/>
        </w:rPr>
        <w:t>nuità o rottura</w:t>
      </w:r>
      <w:r w:rsidRPr="00DB0A69">
        <w:t xml:space="preserve">?, in </w:t>
      </w:r>
      <w:r>
        <w:rPr>
          <w:i/>
        </w:rPr>
        <w:t>questa Rivista</w:t>
      </w:r>
      <w:r w:rsidRPr="00DB0A69">
        <w:t>, 2009,</w:t>
      </w:r>
      <w:r>
        <w:t xml:space="preserve"> 7, </w:t>
      </w:r>
      <w:r w:rsidRPr="00DB0A69">
        <w:t xml:space="preserve">701 ss.; L. Carbone, </w:t>
      </w:r>
      <w:r w:rsidRPr="00DB0A69">
        <w:rPr>
          <w:i/>
        </w:rPr>
        <w:t>L’esperienza “Taglia-leggi” a metà del suo cammino</w:t>
      </w:r>
      <w:r w:rsidRPr="00DB0A69">
        <w:t xml:space="preserve">, in </w:t>
      </w:r>
      <w:r>
        <w:rPr>
          <w:i/>
        </w:rPr>
        <w:t>questa Riv</w:t>
      </w:r>
      <w:r>
        <w:rPr>
          <w:i/>
        </w:rPr>
        <w:t>i</w:t>
      </w:r>
      <w:r>
        <w:rPr>
          <w:i/>
        </w:rPr>
        <w:t>sta,</w:t>
      </w:r>
      <w:r w:rsidRPr="00DB0A69">
        <w:t xml:space="preserve"> 2008, </w:t>
      </w:r>
      <w:r>
        <w:t xml:space="preserve">5, </w:t>
      </w:r>
      <w:r w:rsidRPr="00DB0A69">
        <w:t xml:space="preserve">573 ss.; A. D’atena, F. Sorrentino, </w:t>
      </w:r>
      <w:r w:rsidRPr="00DB0A69">
        <w:rPr>
          <w:i/>
        </w:rPr>
        <w:t>Attuazione del procedimento Taglia Leggi</w:t>
      </w:r>
      <w:r w:rsidRPr="00DB0A69">
        <w:t xml:space="preserve">, in </w:t>
      </w:r>
      <w:r w:rsidRPr="00D4433F">
        <w:rPr>
          <w:i/>
        </w:rPr>
        <w:t>www.federalismi.it</w:t>
      </w:r>
      <w:r w:rsidRPr="00DB0A69">
        <w:t xml:space="preserve">, 2009, n. 10; M. Cecchetti, </w:t>
      </w:r>
      <w:r w:rsidRPr="00DB0A69">
        <w:rPr>
          <w:i/>
        </w:rPr>
        <w:t>Il “taglio” delle leggi tra deleghe legislative, decretazione d’urgenza, clausole  “ghigliottina” e abrogazioni espresse</w:t>
      </w:r>
      <w:r w:rsidRPr="00DB0A69">
        <w:t>, in S. Pajno, G. Verde (a cura di</w:t>
      </w:r>
      <w:r w:rsidRPr="00DB0A69">
        <w:rPr>
          <w:i/>
        </w:rPr>
        <w:t>), Studi sulle fonti del diritto</w:t>
      </w:r>
      <w:r w:rsidRPr="00DB0A69">
        <w:t>, vol. I, Milano, 2010, 95 ss.</w:t>
      </w:r>
    </w:p>
  </w:footnote>
  <w:footnote w:id="5">
    <w:p w:rsidR="008C522C" w:rsidRDefault="008C522C" w:rsidP="00612A13">
      <w:pPr>
        <w:pStyle w:val="TN"/>
      </w:pPr>
      <w:r w:rsidRPr="00DB0A69">
        <w:rPr>
          <w:rStyle w:val="FootnoteReference"/>
          <w:rFonts w:ascii="Garamond" w:hAnsi="Garamond" w:cs="Arial"/>
        </w:rPr>
        <w:footnoteRef/>
      </w:r>
      <w:r w:rsidRPr="00DB0A69">
        <w:t xml:space="preserve"> La prima seduta si è tenuta il 28 luglio 2008 mentre l’ultima il 14 settembre 2011. I resoconti di tutte le sedute sono disponibili alla pag. web </w:t>
      </w:r>
      <w:r w:rsidRPr="00D4433F">
        <w:rPr>
          <w:i/>
        </w:rPr>
        <w:t>http://www.parlamento.it/825?indagine=8.</w:t>
      </w:r>
    </w:p>
  </w:footnote>
  <w:footnote w:id="6">
    <w:p w:rsidR="008C522C" w:rsidRDefault="008C522C" w:rsidP="00612A13">
      <w:pPr>
        <w:pStyle w:val="TN"/>
      </w:pPr>
      <w:r w:rsidRPr="00DB0A69">
        <w:rPr>
          <w:rStyle w:val="FootnoteReference"/>
          <w:rFonts w:ascii="Garamond" w:hAnsi="Garamond" w:cs="Arial"/>
        </w:rPr>
        <w:footnoteRef/>
      </w:r>
      <w:r w:rsidRPr="00DB0A69">
        <w:t xml:space="preserve"> Il 9 giugno 2014 l’Assemblea della Camera, nella seduta numero 241, ha svolto la discussione generale su 4 mozioni riguardanti la semplificazione normativa ed amministrativa (</w:t>
      </w:r>
      <w:r>
        <w:t>nn.</w:t>
      </w:r>
      <w:r w:rsidRPr="00DB0A69">
        <w:t xml:space="preserve"> 1/00487, Cozzolino; 1/00491, Prataviera; 1/00493, Balduzzi; 1/00487; 1-00509, Tabacci). Nella successiva seduta del 18 giugno, poi, è stata presentata un’ulteriore mozione, che costituisce una sorta di testo un</w:t>
      </w:r>
      <w:r w:rsidRPr="00DB0A69">
        <w:t>i</w:t>
      </w:r>
      <w:r w:rsidRPr="00DB0A69">
        <w:t>ficato</w:t>
      </w:r>
      <w:r>
        <w:t xml:space="preserve"> delle mozioni in discussione, che</w:t>
      </w:r>
      <w:r w:rsidRPr="00DB0A69">
        <w:t xml:space="preserve"> è stata sottoscritta da rappresentanti di tutti i gruppi (</w:t>
      </w:r>
      <w:r>
        <w:t>n.</w:t>
      </w:r>
      <w:r w:rsidRPr="00DB0A69">
        <w:t xml:space="preserve"> 1/00509, Tabacci) e</w:t>
      </w:r>
      <w:r>
        <w:t xml:space="preserve"> approvata</w:t>
      </w:r>
      <w:r w:rsidRPr="00DB0A69">
        <w:t xml:space="preserve"> all’unanimità.  </w:t>
      </w:r>
    </w:p>
  </w:footnote>
  <w:footnote w:id="7">
    <w:p w:rsidR="008C522C" w:rsidRDefault="008C522C" w:rsidP="00612A13">
      <w:pPr>
        <w:pStyle w:val="TN"/>
      </w:pPr>
      <w:r w:rsidRPr="00DB0A69">
        <w:rPr>
          <w:rStyle w:val="FootnoteReference"/>
          <w:rFonts w:ascii="Garamond" w:hAnsi="Garamond" w:cs="Arial"/>
        </w:rPr>
        <w:footnoteRef/>
      </w:r>
      <w:r w:rsidRPr="00DB0A69">
        <w:t xml:space="preserve"> Commissione parlamentare per la semplificazione, </w:t>
      </w:r>
      <w:r w:rsidRPr="00DB0A69">
        <w:rPr>
          <w:i/>
        </w:rPr>
        <w:t>Documento conclusivo</w:t>
      </w:r>
      <w:r w:rsidRPr="00DB0A69">
        <w:t>,</w:t>
      </w:r>
      <w:r w:rsidRPr="00DB0A69">
        <w:rPr>
          <w:i/>
        </w:rPr>
        <w:t xml:space="preserve"> </w:t>
      </w:r>
      <w:r w:rsidRPr="00DB0A69">
        <w:t>cit.</w:t>
      </w:r>
      <w:r w:rsidRPr="00DB0A69">
        <w:rPr>
          <w:i/>
        </w:rPr>
        <w:t xml:space="preserve">  </w:t>
      </w:r>
      <w:r w:rsidRPr="00DB0A69">
        <w:t>35.</w:t>
      </w:r>
    </w:p>
  </w:footnote>
  <w:footnote w:id="8">
    <w:p w:rsidR="008C522C" w:rsidRDefault="008C522C" w:rsidP="00612A13">
      <w:pPr>
        <w:pStyle w:val="TN"/>
      </w:pPr>
      <w:r w:rsidRPr="00DB0A69">
        <w:rPr>
          <w:rStyle w:val="FootnoteReference"/>
          <w:rFonts w:ascii="Garamond" w:hAnsi="Garamond" w:cs="Arial"/>
        </w:rPr>
        <w:footnoteRef/>
      </w:r>
      <w:r w:rsidRPr="00DB0A69">
        <w:t xml:space="preserve"> </w:t>
      </w:r>
      <w:r w:rsidRPr="00DB0A69">
        <w:rPr>
          <w:i/>
        </w:rPr>
        <w:t>Ibidem</w:t>
      </w:r>
      <w:r w:rsidRPr="00DB0A69">
        <w:t>, 36.</w:t>
      </w:r>
    </w:p>
  </w:footnote>
  <w:footnote w:id="9">
    <w:p w:rsidR="008C522C" w:rsidRDefault="008C522C" w:rsidP="00612A13">
      <w:pPr>
        <w:pStyle w:val="TN"/>
      </w:pPr>
      <w:r w:rsidRPr="00DB0A69">
        <w:rPr>
          <w:rStyle w:val="FootnoteReference"/>
          <w:rFonts w:ascii="Garamond" w:hAnsi="Garamond" w:cs="Arial"/>
        </w:rPr>
        <w:footnoteRef/>
      </w:r>
      <w:r w:rsidRPr="00DB0A69">
        <w:t xml:space="preserve"> Si tratta della cd. legislazione “a cannocchiale” su cui vedi R. Zaccaria, </w:t>
      </w:r>
      <w:r w:rsidRPr="00DB0A69">
        <w:rPr>
          <w:i/>
        </w:rPr>
        <w:t>Fuga dalla legge? Seminari sulla qualità della legislazione</w:t>
      </w:r>
      <w:r w:rsidRPr="00DB0A69">
        <w:t>, Brescia, Grafo edizioni, 2011, 15.</w:t>
      </w:r>
    </w:p>
  </w:footnote>
  <w:footnote w:id="10">
    <w:p w:rsidR="008C522C" w:rsidRDefault="008C522C" w:rsidP="00612A13">
      <w:pPr>
        <w:pStyle w:val="TN"/>
      </w:pPr>
      <w:r w:rsidRPr="00DB0A69">
        <w:rPr>
          <w:rStyle w:val="FootnoteReference"/>
          <w:rFonts w:ascii="Garamond" w:hAnsi="Garamond" w:cs="Arial"/>
        </w:rPr>
        <w:footnoteRef/>
      </w:r>
      <w:r w:rsidRPr="00DB0A69">
        <w:t xml:space="preserve"> Commissione parlamentare per la semplificazione, </w:t>
      </w:r>
      <w:r w:rsidRPr="00DB0A69">
        <w:rPr>
          <w:i/>
        </w:rPr>
        <w:t>Documento conclusivo</w:t>
      </w:r>
      <w:r w:rsidRPr="00DB0A69">
        <w:t>,</w:t>
      </w:r>
      <w:r w:rsidRPr="00DB0A69">
        <w:rPr>
          <w:i/>
        </w:rPr>
        <w:t xml:space="preserve"> </w:t>
      </w:r>
      <w:r w:rsidRPr="00DB0A69">
        <w:t>cit.</w:t>
      </w:r>
      <w:r>
        <w:t>,</w:t>
      </w:r>
      <w:r w:rsidRPr="00DB0A69">
        <w:rPr>
          <w:i/>
        </w:rPr>
        <w:t xml:space="preserve">  </w:t>
      </w:r>
      <w:r w:rsidRPr="00DB0A69">
        <w:t>38.</w:t>
      </w:r>
    </w:p>
  </w:footnote>
  <w:footnote w:id="11">
    <w:p w:rsidR="008C522C" w:rsidRDefault="008C522C" w:rsidP="00612A13">
      <w:pPr>
        <w:pStyle w:val="TN"/>
      </w:pPr>
      <w:r w:rsidRPr="00DB0A69">
        <w:rPr>
          <w:rStyle w:val="FootnoteReference"/>
          <w:rFonts w:ascii="Garamond" w:hAnsi="Garamond" w:cs="Arial"/>
        </w:rPr>
        <w:footnoteRef/>
      </w:r>
      <w:r w:rsidRPr="00DB0A69">
        <w:t xml:space="preserve"> Vedi in particolare Commissione parlamentare per la semplificazione, Indagine conoscitiva, Seduta del 15 gennaio 2014, Audizi</w:t>
      </w:r>
      <w:r w:rsidRPr="00DB0A69">
        <w:t>o</w:t>
      </w:r>
      <w:r w:rsidRPr="00DB0A69">
        <w:t>ne del Presidente della V Sezione del Consiglio d</w:t>
      </w:r>
      <w:r>
        <w:t>i Stato, Alessandro Pajno, p. 4 «</w:t>
      </w:r>
      <w:r w:rsidRPr="00DB0A69">
        <w:t>[…] le procedure di controllo della qualità della r</w:t>
      </w:r>
      <w:r w:rsidRPr="00DB0A69">
        <w:t>e</w:t>
      </w:r>
      <w:r w:rsidRPr="00DB0A69">
        <w:t>golazione sono state o dimenticate o normalizzate dalle pubbliche amministrazioni, o messe nel nulla dall’affermazione dell’esistenza di specifiche necessità politiche che imponevano di prescindere da esse. Tutta la decretazione d’urgenza degli ultimi tempi è stata adottata con questo criterio</w:t>
      </w:r>
      <w:r>
        <w:t>»</w:t>
      </w:r>
      <w:r w:rsidRPr="00DB0A69">
        <w:t>.</w:t>
      </w:r>
    </w:p>
  </w:footnote>
  <w:footnote w:id="12">
    <w:p w:rsidR="008C522C" w:rsidRDefault="008C522C" w:rsidP="00612A13">
      <w:pPr>
        <w:pStyle w:val="TN"/>
      </w:pPr>
      <w:r w:rsidRPr="00DB0A69">
        <w:rPr>
          <w:rStyle w:val="FootnoteReference"/>
          <w:rFonts w:ascii="Garamond" w:hAnsi="Garamond" w:cs="Arial"/>
        </w:rPr>
        <w:footnoteRef/>
      </w:r>
      <w:r w:rsidRPr="00DB0A69">
        <w:t xml:space="preserve"> </w:t>
      </w:r>
      <w:r w:rsidRPr="00DB0A69">
        <w:rPr>
          <w:i/>
        </w:rPr>
        <w:t>Ibidem</w:t>
      </w:r>
      <w:r w:rsidRPr="00DB0A69">
        <w:t>, p. 4.</w:t>
      </w:r>
    </w:p>
  </w:footnote>
  <w:footnote w:id="13">
    <w:p w:rsidR="008C522C" w:rsidRDefault="008C522C" w:rsidP="00612A13">
      <w:pPr>
        <w:pStyle w:val="TN"/>
      </w:pPr>
      <w:r w:rsidRPr="00DB0A69">
        <w:rPr>
          <w:rStyle w:val="FootnoteReference"/>
          <w:rFonts w:ascii="Garamond" w:hAnsi="Garamond" w:cs="Arial"/>
        </w:rPr>
        <w:footnoteRef/>
      </w:r>
      <w:r w:rsidRPr="00DB0A69">
        <w:t xml:space="preserve">Commissione parlamentare per la semplificazione, </w:t>
      </w:r>
      <w:r w:rsidRPr="00DB0A69">
        <w:rPr>
          <w:i/>
        </w:rPr>
        <w:t>Documento conclusivo</w:t>
      </w:r>
      <w:r w:rsidRPr="00DB0A69">
        <w:t>,</w:t>
      </w:r>
      <w:r w:rsidRPr="00DB0A69">
        <w:rPr>
          <w:i/>
        </w:rPr>
        <w:t xml:space="preserve"> </w:t>
      </w:r>
      <w:r w:rsidRPr="00DB0A69">
        <w:t>cit.</w:t>
      </w:r>
      <w:r>
        <w:t>,</w:t>
      </w:r>
      <w:r w:rsidRPr="00DB0A69">
        <w:rPr>
          <w:i/>
        </w:rPr>
        <w:t xml:space="preserve"> </w:t>
      </w:r>
      <w:r w:rsidRPr="00DB0A69">
        <w:t>p. 43.</w:t>
      </w:r>
    </w:p>
  </w:footnote>
  <w:footnote w:id="14">
    <w:p w:rsidR="008C522C" w:rsidRDefault="008C522C" w:rsidP="00612A13">
      <w:pPr>
        <w:pStyle w:val="TN"/>
      </w:pPr>
      <w:r w:rsidRPr="00DB0A69">
        <w:rPr>
          <w:rStyle w:val="FootnoteReference"/>
          <w:rFonts w:ascii="Garamond" w:hAnsi="Garamond" w:cs="Arial"/>
        </w:rPr>
        <w:footnoteRef/>
      </w:r>
      <w:r w:rsidRPr="00DB0A69">
        <w:t xml:space="preserve"> </w:t>
      </w:r>
      <w:r w:rsidRPr="00DB0A69">
        <w:rPr>
          <w:i/>
        </w:rPr>
        <w:t>Ibidem</w:t>
      </w:r>
      <w:r w:rsidRPr="00DB0A69">
        <w:t>, p. 44.</w:t>
      </w:r>
    </w:p>
  </w:footnote>
  <w:footnote w:id="15">
    <w:p w:rsidR="008C522C" w:rsidRDefault="008C522C" w:rsidP="00612A13">
      <w:pPr>
        <w:pStyle w:val="TN"/>
      </w:pPr>
      <w:r w:rsidRPr="00DB0A69">
        <w:rPr>
          <w:rStyle w:val="FootnoteReference"/>
          <w:rFonts w:ascii="Garamond" w:hAnsi="Garamond" w:cs="Arial"/>
        </w:rPr>
        <w:footnoteRef/>
      </w:r>
      <w:r w:rsidRPr="00DB0A69">
        <w:t xml:space="preserve"> Su questi aspetti si veda anche A. Police, </w:t>
      </w:r>
      <w:r w:rsidRPr="00DB0A69">
        <w:rPr>
          <w:i/>
        </w:rPr>
        <w:t>Riflessioni sui tortuosi itinerari della semplificazione nell’amministrazione della comple</w:t>
      </w:r>
      <w:r w:rsidRPr="00DB0A69">
        <w:rPr>
          <w:i/>
        </w:rPr>
        <w:t>s</w:t>
      </w:r>
      <w:r w:rsidRPr="00DB0A69">
        <w:rPr>
          <w:i/>
        </w:rPr>
        <w:t>sità</w:t>
      </w:r>
      <w:r w:rsidRPr="00DB0A69">
        <w:t xml:space="preserve">, in </w:t>
      </w:r>
      <w:r w:rsidRPr="00DB0A69">
        <w:rPr>
          <w:i/>
        </w:rPr>
        <w:t>Aperta Contrada. Riflessioni su società, diritto economia</w:t>
      </w:r>
      <w:r w:rsidRPr="00DB0A69">
        <w:t xml:space="preserve">, 16 febbraio 2013, disponibile alla pag. web </w:t>
      </w:r>
      <w:r w:rsidRPr="00D4433F">
        <w:rPr>
          <w:i/>
        </w:rPr>
        <w:t>http://www.apertacontrada.it/2013/02/16/riflessioni-sui-tortuosi-itinerari-della-semplificazione-nellamministrazione-della-complessita</w:t>
      </w:r>
      <w:r w:rsidRPr="00DB0A69">
        <w:t>/</w:t>
      </w:r>
      <w:r>
        <w:t>.</w:t>
      </w:r>
    </w:p>
  </w:footnote>
  <w:footnote w:id="16">
    <w:p w:rsidR="008C522C" w:rsidRDefault="008C522C" w:rsidP="00612A13">
      <w:pPr>
        <w:pStyle w:val="TN"/>
      </w:pPr>
      <w:r w:rsidRPr="00DB0A69">
        <w:rPr>
          <w:rStyle w:val="FootnoteReference"/>
          <w:rFonts w:ascii="Garamond" w:hAnsi="Garamond" w:cs="Arial"/>
        </w:rPr>
        <w:footnoteRef/>
      </w:r>
      <w:r w:rsidRPr="00DB0A69">
        <w:t xml:space="preserve"> Commissione parlamentare per la semplificazione, </w:t>
      </w:r>
      <w:r w:rsidRPr="00DB0A69">
        <w:rPr>
          <w:i/>
        </w:rPr>
        <w:t>Documento conclusivo</w:t>
      </w:r>
      <w:r w:rsidRPr="00DB0A69">
        <w:t>,</w:t>
      </w:r>
      <w:r w:rsidRPr="00DB0A69">
        <w:rPr>
          <w:i/>
        </w:rPr>
        <w:t xml:space="preserve"> </w:t>
      </w:r>
      <w:r w:rsidRPr="00DB0A69">
        <w:t>cit.</w:t>
      </w:r>
      <w:r>
        <w:t>,</w:t>
      </w:r>
      <w:r w:rsidRPr="00DB0A69">
        <w:rPr>
          <w:i/>
        </w:rPr>
        <w:t xml:space="preserve">  </w:t>
      </w:r>
      <w:r w:rsidRPr="00DB0A69">
        <w:t>p. 44.</w:t>
      </w:r>
    </w:p>
  </w:footnote>
  <w:footnote w:id="17">
    <w:p w:rsidR="008C522C" w:rsidRDefault="008C522C" w:rsidP="00612A13">
      <w:pPr>
        <w:pStyle w:val="TN"/>
      </w:pPr>
      <w:r w:rsidRPr="00DB0A69">
        <w:rPr>
          <w:rStyle w:val="FootnoteReference"/>
          <w:rFonts w:ascii="Garamond" w:hAnsi="Garamond" w:cs="Arial"/>
        </w:rPr>
        <w:footnoteRef/>
      </w:r>
      <w:r w:rsidRPr="00DB0A69">
        <w:t xml:space="preserve"> Commissione parlamentare per la semplificazione, Indagine conoscitiva, Seduta del 4 febbraio 2014, Audizione del Presidente di Confindustria, Giorgio Squinzi, p. 8.</w:t>
      </w:r>
    </w:p>
  </w:footnote>
  <w:footnote w:id="18">
    <w:p w:rsidR="008C522C" w:rsidRDefault="008C522C" w:rsidP="00612A13">
      <w:pPr>
        <w:pStyle w:val="TN"/>
      </w:pPr>
      <w:r w:rsidRPr="00DB0A69">
        <w:rPr>
          <w:rStyle w:val="FootnoteReference"/>
          <w:rFonts w:ascii="Garamond" w:hAnsi="Garamond" w:cs="Arial"/>
        </w:rPr>
        <w:footnoteRef/>
      </w:r>
      <w:r w:rsidRPr="00DB0A69">
        <w:t xml:space="preserve"> Su questi aspetti si veda in particolare Commissione parlamentare per la semplificazione, Indagine conoscitiva, Seduta del 10 febbraio 2014, Audizione del Tavolo istituzionale per la semplificazione. </w:t>
      </w:r>
    </w:p>
  </w:footnote>
  <w:footnote w:id="19">
    <w:p w:rsidR="008C522C" w:rsidRDefault="008C522C" w:rsidP="00612A13">
      <w:pPr>
        <w:pStyle w:val="TN"/>
      </w:pPr>
      <w:r w:rsidRPr="00DB0A69">
        <w:rPr>
          <w:rStyle w:val="FootnoteReference"/>
          <w:rFonts w:ascii="Garamond" w:hAnsi="Garamond" w:cs="Arial"/>
        </w:rPr>
        <w:footnoteRef/>
      </w:r>
      <w:r w:rsidRPr="00DB0A69">
        <w:t xml:space="preserve"> Proprio sui moduli in materia di edilizia</w:t>
      </w:r>
      <w:r>
        <w:t xml:space="preserve">, </w:t>
      </w:r>
      <w:r w:rsidRPr="00C20E90">
        <w:t>il Dipartimento del</w:t>
      </w:r>
      <w:r>
        <w:t xml:space="preserve">la funzione pubblica ha </w:t>
      </w:r>
      <w:r w:rsidRPr="00DB0A69">
        <w:t>avviato un lavoro con le Regioni per la pred</w:t>
      </w:r>
      <w:r w:rsidRPr="00DB0A69">
        <w:t>i</w:t>
      </w:r>
      <w:r w:rsidRPr="00DB0A69">
        <w:t>sposizione di un modulo unico (Cfr. Accordo tra il Governo, le Regioni e gli Enti locali, concernente l’adozione di moduli unificati e semplificati per la presentazione dell’istanza del permesso di costruire e della segnalazione certificata di inizio di attività edilizia</w:t>
      </w:r>
      <w:r>
        <w:t xml:space="preserve">, </w:t>
      </w:r>
      <w:r w:rsidRPr="00975BE2">
        <w:t>Rep</w:t>
      </w:r>
      <w:r>
        <w:t>.</w:t>
      </w:r>
      <w:r w:rsidRPr="00975BE2">
        <w:t xml:space="preserve"> atti n. 67/CU</w:t>
      </w:r>
      <w:r>
        <w:t xml:space="preserve"> del 12 giugno 2014)</w:t>
      </w:r>
      <w:r w:rsidRPr="00DB0A69">
        <w:t>.</w:t>
      </w:r>
    </w:p>
  </w:footnote>
  <w:footnote w:id="20">
    <w:p w:rsidR="008C522C" w:rsidRDefault="008C522C" w:rsidP="00612A13">
      <w:pPr>
        <w:pStyle w:val="TN"/>
      </w:pPr>
      <w:r w:rsidRPr="00DB0A69">
        <w:rPr>
          <w:rStyle w:val="FootnoteReference"/>
          <w:rFonts w:ascii="Garamond" w:hAnsi="Garamond" w:cs="Arial"/>
        </w:rPr>
        <w:footnoteRef/>
      </w:r>
      <w:r w:rsidRPr="00DB0A69">
        <w:t xml:space="preserve"> </w:t>
      </w:r>
      <w:r>
        <w:t>L’agenda è</w:t>
      </w:r>
      <w:r w:rsidRPr="00DB0A69">
        <w:t xml:space="preserve"> uno strumento per programmare gli interventi di semplificazione indicando obiettivi, responsabilità, scadenze e modal</w:t>
      </w:r>
      <w:r w:rsidRPr="00DB0A69">
        <w:t>i</w:t>
      </w:r>
      <w:r w:rsidRPr="00DB0A69">
        <w:t>tà di verifica del raggiungimento dei risultati attesi</w:t>
      </w:r>
      <w:r>
        <w:t xml:space="preserve">, da ultimo disciplinata </w:t>
      </w:r>
      <w:r w:rsidRPr="00DB0A69">
        <w:t xml:space="preserve">dall’art. 24 </w:t>
      </w:r>
      <w:r>
        <w:t xml:space="preserve">del d.l. 24 giugno 2014, n. 90, </w:t>
      </w:r>
      <w:r w:rsidRPr="00975BE2">
        <w:rPr>
          <w:i/>
        </w:rPr>
        <w:t>Misure urgenti per la semplificazione e la trasparenza amministrativa e per l’efficienza degli uffici giudiziari</w:t>
      </w:r>
      <w:r w:rsidRPr="00DB0A69">
        <w:t xml:space="preserve">.  </w:t>
      </w:r>
    </w:p>
  </w:footnote>
  <w:footnote w:id="21">
    <w:p w:rsidR="008C522C" w:rsidRDefault="008C522C" w:rsidP="00612A13">
      <w:pPr>
        <w:pStyle w:val="TN"/>
      </w:pPr>
      <w:r w:rsidRPr="00DB0A69">
        <w:rPr>
          <w:rStyle w:val="FootnoteReference"/>
          <w:rFonts w:ascii="Garamond" w:hAnsi="Garamond" w:cs="Arial"/>
        </w:rPr>
        <w:footnoteRef/>
      </w:r>
      <w:r w:rsidRPr="00DB0A69">
        <w:t xml:space="preserve">Commissione parlamentare per la semplificazione, </w:t>
      </w:r>
      <w:r w:rsidRPr="00DB0A69">
        <w:rPr>
          <w:i/>
        </w:rPr>
        <w:t>Documento conclusivo</w:t>
      </w:r>
      <w:r w:rsidRPr="00DB0A69">
        <w:t>,</w:t>
      </w:r>
      <w:r w:rsidRPr="00DB0A69">
        <w:rPr>
          <w:i/>
        </w:rPr>
        <w:t xml:space="preserve"> </w:t>
      </w:r>
      <w:r w:rsidRPr="00DB0A69">
        <w:t>cit.,</w:t>
      </w:r>
      <w:r w:rsidRPr="00DB0A69">
        <w:rPr>
          <w:i/>
        </w:rPr>
        <w:t xml:space="preserve"> </w:t>
      </w:r>
      <w:r w:rsidRPr="00DB0A69">
        <w:t>p. 35.</w:t>
      </w:r>
    </w:p>
  </w:footnote>
  <w:footnote w:id="22">
    <w:p w:rsidR="008C522C" w:rsidRDefault="008C522C" w:rsidP="00612A13">
      <w:pPr>
        <w:pStyle w:val="TN"/>
      </w:pPr>
      <w:r w:rsidRPr="00DB0A69">
        <w:rPr>
          <w:rStyle w:val="FootnoteReference"/>
          <w:rFonts w:ascii="Garamond" w:hAnsi="Garamond" w:cs="Arial"/>
        </w:rPr>
        <w:footnoteRef/>
      </w:r>
      <w:r w:rsidRPr="00DB0A69">
        <w:t xml:space="preserve"> Secondo i dati forniti dalla Corte dei conti, per ogni norma abrogata entrano in vigore 1,2 nuove norme (Cfr. particolare Commi</w:t>
      </w:r>
      <w:r w:rsidRPr="00DB0A69">
        <w:t>s</w:t>
      </w:r>
      <w:r w:rsidRPr="00DB0A69">
        <w:t xml:space="preserve">sione parlamentare per la semplificazione, Indagine conoscitiva, Seduta del 12 marzo 2014, Audizione del Presidente della Corte dei conti, Raffaele Squitieri). </w:t>
      </w:r>
    </w:p>
  </w:footnote>
  <w:footnote w:id="23">
    <w:p w:rsidR="008C522C" w:rsidRDefault="008C522C" w:rsidP="00612A13">
      <w:pPr>
        <w:pStyle w:val="TN"/>
      </w:pPr>
      <w:r w:rsidRPr="00DB0A69">
        <w:rPr>
          <w:rStyle w:val="FootnoteReference"/>
          <w:rFonts w:ascii="Garamond" w:hAnsi="Garamond" w:cs="Arial"/>
        </w:rPr>
        <w:footnoteRef/>
      </w:r>
      <w:r w:rsidRPr="00DB0A69">
        <w:t xml:space="preserve"> </w:t>
      </w:r>
      <w:r>
        <w:t>«</w:t>
      </w:r>
      <w:r w:rsidRPr="00DB0A69">
        <w:t>Si è progressivamente passati dal primato della legge alla fuga dalla legge, dal ricorso alla procedura di delegificazione al ricorso al regolamento, alla fuga dal regolamento, alla scelta a favore dell’atto non regolamentare, al continuo ricorso al decreto legge, all’uso del maxiemendamento, al ricorso sempre più pervasivo alle ordinanze normative</w:t>
      </w:r>
      <w:r>
        <w:t>»</w:t>
      </w:r>
      <w:r w:rsidRPr="00DB0A69">
        <w:t xml:space="preserve"> (Cfr. Commissione parlamentare per la semplificazione, Indagine conoscitiva, Seduta del 15 gennaio 2014, Audizione del Presidente della V Sezione del Consiglio di Stato, Alessandro Pajno, p. 4).</w:t>
      </w:r>
    </w:p>
  </w:footnote>
  <w:footnote w:id="24">
    <w:p w:rsidR="008C522C" w:rsidRDefault="008C522C" w:rsidP="00612A13">
      <w:pPr>
        <w:pStyle w:val="TN"/>
      </w:pPr>
      <w:r w:rsidRPr="00DB0A69">
        <w:rPr>
          <w:rStyle w:val="FootnoteReference"/>
          <w:rFonts w:ascii="Garamond" w:hAnsi="Garamond" w:cs="Arial"/>
        </w:rPr>
        <w:footnoteRef/>
      </w:r>
      <w:r w:rsidRPr="00DB0A69">
        <w:t xml:space="preserve"> Commissione parlamentare per la semplificazione, </w:t>
      </w:r>
      <w:r w:rsidRPr="00DB0A69">
        <w:rPr>
          <w:i/>
        </w:rPr>
        <w:t>Documento conclusivo</w:t>
      </w:r>
      <w:r w:rsidRPr="00DB0A69">
        <w:t>,</w:t>
      </w:r>
      <w:r w:rsidRPr="00DB0A69">
        <w:rPr>
          <w:i/>
        </w:rPr>
        <w:t xml:space="preserve"> </w:t>
      </w:r>
      <w:r w:rsidRPr="00DB0A69">
        <w:t>cit.</w:t>
      </w:r>
      <w:r>
        <w:t>,</w:t>
      </w:r>
      <w:r w:rsidRPr="00DB0A69">
        <w:rPr>
          <w:i/>
        </w:rPr>
        <w:t xml:space="preserve">  </w:t>
      </w:r>
      <w:r w:rsidRPr="00DB0A69">
        <w:t>p. 44.</w:t>
      </w:r>
    </w:p>
  </w:footnote>
  <w:footnote w:id="25">
    <w:p w:rsidR="008C522C" w:rsidRDefault="008C522C" w:rsidP="00612A13">
      <w:pPr>
        <w:pStyle w:val="TN"/>
      </w:pPr>
      <w:r w:rsidRPr="00DB0A69">
        <w:rPr>
          <w:rStyle w:val="FootnoteReference"/>
          <w:rFonts w:ascii="Garamond" w:hAnsi="Garamond" w:cs="Arial"/>
        </w:rPr>
        <w:footnoteRef/>
      </w:r>
      <w:r w:rsidRPr="00DB0A69">
        <w:t xml:space="preserve"> </w:t>
      </w:r>
      <w:r w:rsidRPr="00DB0A69">
        <w:rPr>
          <w:i/>
        </w:rPr>
        <w:t>Ibidem</w:t>
      </w:r>
      <w:r w:rsidRPr="00DB0A69">
        <w:t>, p. 45.</w:t>
      </w:r>
    </w:p>
  </w:footnote>
  <w:footnote w:id="26">
    <w:p w:rsidR="008C522C" w:rsidRDefault="008C522C" w:rsidP="00612A13">
      <w:pPr>
        <w:pStyle w:val="TN"/>
      </w:pPr>
      <w:r w:rsidRPr="00DB0A69">
        <w:rPr>
          <w:rStyle w:val="FootnoteReference"/>
          <w:rFonts w:ascii="Garamond" w:hAnsi="Garamond" w:cs="Arial"/>
        </w:rPr>
        <w:footnoteRef/>
      </w:r>
      <w:r w:rsidRPr="00DB0A69">
        <w:t xml:space="preserve"> </w:t>
      </w:r>
      <w:r w:rsidRPr="00DB0A69">
        <w:rPr>
          <w:i/>
        </w:rPr>
        <w:t>Ibidem</w:t>
      </w:r>
      <w:r w:rsidRPr="00DB0A69">
        <w:t>, pp. 45-46.</w:t>
      </w:r>
    </w:p>
  </w:footnote>
  <w:footnote w:id="27">
    <w:p w:rsidR="008C522C" w:rsidRDefault="008C522C" w:rsidP="00612A13">
      <w:pPr>
        <w:pStyle w:val="TN"/>
      </w:pPr>
      <w:r w:rsidRPr="00DB0A69">
        <w:rPr>
          <w:rStyle w:val="FootnoteReference"/>
          <w:rFonts w:ascii="Garamond" w:hAnsi="Garamond" w:cs="Arial"/>
        </w:rPr>
        <w:footnoteRef/>
      </w:r>
      <w:r>
        <w:t xml:space="preserve"> La </w:t>
      </w:r>
      <w:r w:rsidRPr="00C20E90">
        <w:t xml:space="preserve">Moa è una </w:t>
      </w:r>
      <w:r w:rsidRPr="00C20E90">
        <w:rPr>
          <w:rFonts w:cs="Times New Roman"/>
          <w:bCs/>
        </w:rPr>
        <w:t>metodologia originariamente sviluppata nei Paesi Bassi e attualmente adottata sia dai paesi dell’UE,</w:t>
      </w:r>
      <w:r w:rsidRPr="00C20E90">
        <w:rPr>
          <w:rFonts w:cs="Times New Roman"/>
          <w:bCs/>
          <w:color w:val="FF0000"/>
        </w:rPr>
        <w:t xml:space="preserve"> </w:t>
      </w:r>
      <w:r w:rsidRPr="00C20E90">
        <w:rPr>
          <w:rFonts w:cs="Times New Roman"/>
          <w:bCs/>
        </w:rPr>
        <w:t>che dalla Commissione</w:t>
      </w:r>
      <w:r w:rsidRPr="00DB0A69">
        <w:rPr>
          <w:rFonts w:cs="Times New Roman"/>
          <w:bCs/>
        </w:rPr>
        <w:t xml:space="preserve"> europea. Su questo tema, in italiano, si veda F. Sarpi, </w:t>
      </w:r>
      <w:r w:rsidRPr="00DB0A69">
        <w:rPr>
          <w:rFonts w:cs="Times New Roman"/>
          <w:bCs/>
          <w:i/>
        </w:rPr>
        <w:t>La crociata contro gli oneri amministrativi. Attori, processi, te</w:t>
      </w:r>
      <w:r w:rsidRPr="00DB0A69">
        <w:rPr>
          <w:rFonts w:cs="Times New Roman"/>
          <w:bCs/>
          <w:i/>
        </w:rPr>
        <w:t>c</w:t>
      </w:r>
      <w:r w:rsidRPr="00DB0A69">
        <w:rPr>
          <w:rFonts w:cs="Times New Roman"/>
          <w:bCs/>
          <w:i/>
        </w:rPr>
        <w:t>niche e risultati della misurazione degli oneri amministrativi in alcuni paesi europei: un’analisi comparata</w:t>
      </w:r>
      <w:r w:rsidRPr="00DB0A69">
        <w:rPr>
          <w:rFonts w:cs="Times New Roman"/>
          <w:bCs/>
        </w:rPr>
        <w:t xml:space="preserve">, in A. Natalini, G. Tiberi (a cura di), </w:t>
      </w:r>
      <w:r w:rsidRPr="00DB0A69">
        <w:rPr>
          <w:rFonts w:cs="Times New Roman"/>
          <w:bCs/>
          <w:i/>
        </w:rPr>
        <w:t>La Tela di Penelope</w:t>
      </w:r>
      <w:r w:rsidRPr="00DB0A69">
        <w:rPr>
          <w:rFonts w:cs="Times New Roman"/>
          <w:bCs/>
        </w:rPr>
        <w:t xml:space="preserve">, cit., 333 ss.; S. Barbieri, </w:t>
      </w:r>
      <w:r w:rsidRPr="00DB0A69">
        <w:rPr>
          <w:rFonts w:cs="Times New Roman"/>
          <w:bCs/>
          <w:i/>
        </w:rPr>
        <w:t>I piani di riduzione degli oneri amministrativi in Europa: esperienze a confro</w:t>
      </w:r>
      <w:r w:rsidRPr="00DB0A69">
        <w:rPr>
          <w:rFonts w:cs="Times New Roman"/>
          <w:bCs/>
          <w:i/>
        </w:rPr>
        <w:t>n</w:t>
      </w:r>
      <w:r w:rsidRPr="00DB0A69">
        <w:rPr>
          <w:rFonts w:cs="Times New Roman"/>
          <w:bCs/>
          <w:i/>
        </w:rPr>
        <w:t>to</w:t>
      </w:r>
      <w:r w:rsidRPr="00DB0A69">
        <w:rPr>
          <w:rFonts w:cs="Times New Roman"/>
          <w:bCs/>
        </w:rPr>
        <w:t xml:space="preserve">, </w:t>
      </w:r>
      <w:r w:rsidRPr="00975BE2">
        <w:rPr>
          <w:rFonts w:cs="Times New Roman"/>
          <w:bCs/>
        </w:rPr>
        <w:t>ivi</w:t>
      </w:r>
      <w:r w:rsidRPr="00DB0A69">
        <w:rPr>
          <w:rFonts w:cs="Times New Roman"/>
          <w:bCs/>
        </w:rPr>
        <w:t>, 355 ss.</w:t>
      </w:r>
    </w:p>
  </w:footnote>
  <w:footnote w:id="28">
    <w:p w:rsidR="008C522C" w:rsidRDefault="008C522C" w:rsidP="00612A13">
      <w:pPr>
        <w:pStyle w:val="TN"/>
      </w:pPr>
      <w:r w:rsidRPr="00DB0A69">
        <w:rPr>
          <w:rStyle w:val="FootnoteReference"/>
          <w:rFonts w:ascii="Garamond" w:hAnsi="Garamond" w:cs="Arial"/>
        </w:rPr>
        <w:footnoteRef/>
      </w:r>
      <w:r w:rsidRPr="00DB0A69">
        <w:t xml:space="preserve"> Cfr. M. Clarich, B.G. Mattarella, </w:t>
      </w:r>
      <w:r w:rsidRPr="00DB0A69">
        <w:rPr>
          <w:i/>
        </w:rPr>
        <w:t>Leggi più amichevoli: sei proposte per rilanciare la crescita</w:t>
      </w:r>
      <w:r w:rsidRPr="00DB0A69">
        <w:t xml:space="preserve">, in Centro studi Confindustria, </w:t>
      </w:r>
      <w:r w:rsidRPr="00DB0A69">
        <w:rPr>
          <w:i/>
        </w:rPr>
        <w:t>Slegare l’Italia. Per liberare lo sviluppo da troppe norme confuse</w:t>
      </w:r>
      <w:r w:rsidRPr="00DB0A69">
        <w:t xml:space="preserve">, in </w:t>
      </w:r>
      <w:r w:rsidRPr="00B8723D">
        <w:rPr>
          <w:i/>
        </w:rPr>
        <w:t>Scenari economici</w:t>
      </w:r>
      <w:r w:rsidRPr="00DB0A69">
        <w:t xml:space="preserve">, vol. 8, 2010, 68. </w:t>
      </w:r>
    </w:p>
  </w:footnote>
  <w:footnote w:id="29">
    <w:p w:rsidR="008C522C" w:rsidRDefault="008C522C" w:rsidP="00612A13">
      <w:pPr>
        <w:pStyle w:val="TN"/>
      </w:pPr>
      <w:r w:rsidRPr="00DB0A69">
        <w:rPr>
          <w:rStyle w:val="FootnoteReference"/>
          <w:rFonts w:ascii="Garamond" w:hAnsi="Garamond" w:cs="Arial"/>
        </w:rPr>
        <w:footnoteRef/>
      </w:r>
      <w:r w:rsidRPr="00DB0A69">
        <w:t xml:space="preserve"> </w:t>
      </w:r>
      <w:r w:rsidRPr="00DB0A69">
        <w:rPr>
          <w:rFonts w:cs="Times New Roman"/>
        </w:rPr>
        <w:t xml:space="preserve">Le attività di misurazione sono coordinate dall’apposita </w:t>
      </w:r>
      <w:r w:rsidRPr="00DB0A69">
        <w:rPr>
          <w:rFonts w:cs="Times New Roman"/>
          <w:i/>
        </w:rPr>
        <w:t>task-force</w:t>
      </w:r>
      <w:r w:rsidRPr="00DB0A69">
        <w:rPr>
          <w:rFonts w:cs="Times New Roman"/>
        </w:rPr>
        <w:t xml:space="preserve"> dell’Ufficio semplificazione del Dipartimento della funzione pu</w:t>
      </w:r>
      <w:r w:rsidRPr="00DB0A69">
        <w:rPr>
          <w:rFonts w:cs="Times New Roman"/>
        </w:rPr>
        <w:t>b</w:t>
      </w:r>
      <w:r w:rsidRPr="00DB0A69">
        <w:rPr>
          <w:rFonts w:cs="Times New Roman"/>
        </w:rPr>
        <w:t>blica con l’assistenza tecnica dell’Istat. La misurazione degli oneri amministrativi è stata introdotta in via sperimentale</w:t>
      </w:r>
      <w:r>
        <w:rPr>
          <w:rFonts w:cs="Times New Roman"/>
        </w:rPr>
        <w:t xml:space="preserve"> nel </w:t>
      </w:r>
      <w:r w:rsidRPr="00DB0A69">
        <w:rPr>
          <w:rFonts w:cs="Times New Roman"/>
        </w:rPr>
        <w:t xml:space="preserve">2005 </w:t>
      </w:r>
      <w:r>
        <w:rPr>
          <w:rFonts w:cs="Times New Roman"/>
        </w:rPr>
        <w:t xml:space="preserve">e </w:t>
      </w:r>
      <w:r w:rsidRPr="00DB0A69">
        <w:rPr>
          <w:rFonts w:cs="Times New Roman"/>
        </w:rPr>
        <w:t xml:space="preserve">in modo sistematico nel 2007 quando il </w:t>
      </w:r>
      <w:r w:rsidRPr="00B8723D">
        <w:rPr>
          <w:rFonts w:cs="Times New Roman"/>
          <w:i/>
        </w:rPr>
        <w:t>Piano d’azione per la semplificazione e la qualità della regolazione</w:t>
      </w:r>
      <w:r w:rsidRPr="00DB0A69">
        <w:rPr>
          <w:rFonts w:cs="Times New Roman"/>
        </w:rPr>
        <w:t xml:space="preserve"> ha recepito l’obiettivo di r</w:t>
      </w:r>
      <w:r w:rsidRPr="00DB0A69">
        <w:rPr>
          <w:rFonts w:cs="Times New Roman"/>
        </w:rPr>
        <w:t>i</w:t>
      </w:r>
      <w:r w:rsidRPr="00DB0A69">
        <w:rPr>
          <w:rFonts w:cs="Times New Roman"/>
        </w:rPr>
        <w:t xml:space="preserve">duzione proposto dal Consiglio europeo ed ha individuato le aree di regolazione sulle quali avviare la Moa.  </w:t>
      </w:r>
    </w:p>
  </w:footnote>
  <w:footnote w:id="30">
    <w:p w:rsidR="008C522C" w:rsidRDefault="008C522C" w:rsidP="00612A13">
      <w:pPr>
        <w:pStyle w:val="TN"/>
      </w:pPr>
      <w:r w:rsidRPr="00DB0A69">
        <w:rPr>
          <w:rStyle w:val="FootnoteReference"/>
          <w:rFonts w:ascii="Garamond" w:hAnsi="Garamond" w:cs="Arial"/>
        </w:rPr>
        <w:footnoteRef/>
      </w:r>
      <w:r w:rsidRPr="00DB0A69">
        <w:t xml:space="preserve"> Su questi aspetti si veda, Commissione parlamentare per la semplificazione, Indagine conoscitiva, Seduta del 13 marzo 2014, Audizione del prof. Giulio Vesperini, p. 5. </w:t>
      </w:r>
    </w:p>
  </w:footnote>
  <w:footnote w:id="31">
    <w:p w:rsidR="008C522C" w:rsidRDefault="008C522C" w:rsidP="00D4433F">
      <w:pPr>
        <w:pStyle w:val="TN"/>
      </w:pPr>
      <w:r w:rsidRPr="00DB0A69">
        <w:rPr>
          <w:rStyle w:val="FootnoteReference"/>
          <w:rFonts w:ascii="Garamond" w:hAnsi="Garamond" w:cs="Arial"/>
          <w:sz w:val="20"/>
        </w:rPr>
        <w:footnoteRef/>
      </w:r>
      <w:r>
        <w:t xml:space="preserve"> </w:t>
      </w:r>
      <w:r w:rsidRPr="00967D3A">
        <w:t xml:space="preserve">In verità, anche all’interno dello stesso esecutivo gli strumenti di supervisione sono alquanto deboli, essenzialmente limitati alle funzioni di verifica delle AIR predisposte dai ministeri, attribuite al DAGL. Su questi aspetti sia consentito rinviare a M. Benedetti, </w:t>
      </w:r>
      <w:r w:rsidRPr="00967D3A">
        <w:rPr>
          <w:i/>
        </w:rPr>
        <w:t>Controllo e indirizzo della regolazione: gli</w:t>
      </w:r>
      <w:r w:rsidRPr="00967D3A">
        <w:t xml:space="preserve"> oversight bodies, in </w:t>
      </w:r>
      <w:r w:rsidRPr="00967D3A">
        <w:rPr>
          <w:i/>
        </w:rPr>
        <w:t>Riv. trim. dir. pubb</w:t>
      </w:r>
      <w:r w:rsidRPr="00967D3A">
        <w:t>., vol. 4, 2012, pp. 1057ss.</w:t>
      </w:r>
    </w:p>
  </w:footnote>
  <w:footnote w:id="32">
    <w:p w:rsidR="008C522C" w:rsidRDefault="008C522C" w:rsidP="00D4433F">
      <w:pPr>
        <w:pStyle w:val="TN"/>
      </w:pPr>
      <w:r w:rsidRPr="00DB0A69">
        <w:rPr>
          <w:rStyle w:val="FootnoteReference"/>
          <w:rFonts w:ascii="Garamond" w:hAnsi="Garamond" w:cs="Arial"/>
          <w:sz w:val="20"/>
        </w:rPr>
        <w:footnoteRef/>
      </w:r>
      <w:r w:rsidRPr="00DB0A69">
        <w:t xml:space="preserve"> </w:t>
      </w:r>
      <w:r w:rsidRPr="00967D3A">
        <w:t>Un’analisi della funzione consultiva della Commissione</w:t>
      </w:r>
      <w:r>
        <w:t xml:space="preserve"> bicamerale per la semplificazione</w:t>
      </w:r>
      <w:r w:rsidRPr="00967D3A">
        <w:t xml:space="preserve"> nella XV e XVI Legislatura è in B. Cim</w:t>
      </w:r>
      <w:r w:rsidRPr="00967D3A">
        <w:t>i</w:t>
      </w:r>
      <w:r w:rsidRPr="00967D3A">
        <w:t xml:space="preserve">no, S. Morettini, T. Palma, </w:t>
      </w:r>
      <w:r w:rsidRPr="00967D3A">
        <w:rPr>
          <w:i/>
        </w:rPr>
        <w:t>La delegazione legislativa</w:t>
      </w:r>
      <w:r w:rsidRPr="00967D3A">
        <w:t xml:space="preserve">, in L. Duilio (a cura di), </w:t>
      </w:r>
      <w:r w:rsidRPr="00967D3A">
        <w:rPr>
          <w:i/>
        </w:rPr>
        <w:t>Politiche della legislazione. Oltre la crisi</w:t>
      </w:r>
      <w:r w:rsidRPr="00967D3A">
        <w:t xml:space="preserve">, Bologna, 2013, </w:t>
      </w:r>
      <w:r>
        <w:t>15</w:t>
      </w:r>
      <w:r w:rsidRPr="00C20E90">
        <w:t>2 ss.</w:t>
      </w:r>
    </w:p>
  </w:footnote>
  <w:footnote w:id="33">
    <w:p w:rsidR="008C522C" w:rsidRDefault="008C522C" w:rsidP="00612A13">
      <w:pPr>
        <w:pStyle w:val="TN"/>
      </w:pPr>
      <w:r w:rsidRPr="00DB0A69">
        <w:rPr>
          <w:rStyle w:val="FootnoteReference"/>
          <w:rFonts w:ascii="Garamond" w:hAnsi="Garamond" w:cs="Arial"/>
          <w:sz w:val="20"/>
        </w:rPr>
        <w:footnoteRef/>
      </w:r>
      <w:r>
        <w:t xml:space="preserve"> </w:t>
      </w:r>
      <w:r w:rsidRPr="00DB0A69">
        <w:t>Nel Rapporto del 2003,</w:t>
      </w:r>
      <w:r>
        <w:t xml:space="preserve"> </w:t>
      </w:r>
      <w:r w:rsidRPr="00DB0A69">
        <w:t>ad esempio, il GAO ha verificato la qualità dell’attività svolta dall’Office of Information and Regulatory A</w:t>
      </w:r>
      <w:r w:rsidRPr="00DB0A69">
        <w:t>f</w:t>
      </w:r>
      <w:r w:rsidRPr="00DB0A69">
        <w:t>fairs (OIRA), valutando, a campione, il controllo svolto sulle analisi di impatto della regolazione predisposte da nove agenzie federali (</w:t>
      </w:r>
      <w:r w:rsidRPr="00DB0A69">
        <w:rPr>
          <w:rFonts w:cs="TimesTen-Roman"/>
        </w:rPr>
        <w:t xml:space="preserve">OMB’s </w:t>
      </w:r>
      <w:r w:rsidRPr="00DB0A69">
        <w:rPr>
          <w:rFonts w:cs="TimesTen-Italic"/>
          <w:i/>
          <w:iCs/>
        </w:rPr>
        <w:t>Role in Reviews of Agencies’ Draft Rules and the Transparency of Those Reviews</w:t>
      </w:r>
      <w:r w:rsidRPr="00DB0A69">
        <w:rPr>
          <w:rFonts w:cs="TimesTen-Roman"/>
        </w:rPr>
        <w:t>, GAO-03-929, September 22, 2003</w:t>
      </w:r>
      <w:r w:rsidRPr="00DB0A69">
        <w:t xml:space="preserve">).  </w:t>
      </w:r>
      <w:r w:rsidRPr="00DB0A69">
        <w:rPr>
          <w:rFonts w:cs="TimesTen-Roman"/>
          <w:lang w:val="en-GB"/>
        </w:rPr>
        <w:t xml:space="preserve">Il GAO ha emanato rapporti sull’attività di </w:t>
      </w:r>
      <w:r w:rsidRPr="00DB0A69">
        <w:rPr>
          <w:rFonts w:cs="TimesTen-Italic"/>
          <w:i/>
          <w:iCs/>
          <w:lang w:val="en-GB"/>
        </w:rPr>
        <w:t xml:space="preserve">oversight </w:t>
      </w:r>
      <w:r w:rsidRPr="00DB0A69">
        <w:rPr>
          <w:rFonts w:cs="TimesTen-Roman"/>
          <w:lang w:val="en-GB"/>
        </w:rPr>
        <w:t>dell’OIRA anche nel 2005 (</w:t>
      </w:r>
      <w:r w:rsidRPr="00DB0A69">
        <w:rPr>
          <w:rFonts w:cs="TimesTen-Italic"/>
          <w:i/>
          <w:iCs/>
          <w:lang w:val="en-GB"/>
        </w:rPr>
        <w:t>Prior Reviews of Federal Regulatory Process Initiatives Reveal Opportunities for Improvements</w:t>
      </w:r>
      <w:r w:rsidRPr="00DB0A69">
        <w:rPr>
          <w:rFonts w:cs="TimesTen-Roman"/>
          <w:lang w:val="en-GB"/>
        </w:rPr>
        <w:t>, GAO-05-939T, July 27, 2005), nel 2007 (</w:t>
      </w:r>
      <w:r w:rsidRPr="00DB0A69">
        <w:rPr>
          <w:rFonts w:cs="TimesTen-Italic"/>
          <w:i/>
          <w:iCs/>
          <w:lang w:val="en-GB"/>
        </w:rPr>
        <w:t>Opportunities Exist to Improve Effectiveness and Transparency of Retrospective Reviews</w:t>
      </w:r>
      <w:r w:rsidRPr="00DB0A69">
        <w:rPr>
          <w:rFonts w:cs="TimesTen-Roman"/>
          <w:lang w:val="en-GB"/>
        </w:rPr>
        <w:t>, GAO-07-791, July 16, 2007) e nel 2009 (</w:t>
      </w:r>
      <w:r w:rsidRPr="00DB0A69">
        <w:rPr>
          <w:rFonts w:cs="TimesTen-Italic"/>
          <w:i/>
          <w:iCs/>
          <w:lang w:val="en-GB"/>
        </w:rPr>
        <w:t xml:space="preserve">Improvements Needed </w:t>
      </w:r>
      <w:r w:rsidRPr="00B8723D">
        <w:rPr>
          <w:i/>
          <w:lang w:val="en-GB"/>
        </w:rPr>
        <w:t>to Monitoring and Evalu</w:t>
      </w:r>
      <w:r w:rsidRPr="00B8723D">
        <w:rPr>
          <w:i/>
          <w:lang w:val="en-GB"/>
        </w:rPr>
        <w:t>a</w:t>
      </w:r>
      <w:r w:rsidRPr="00B8723D">
        <w:rPr>
          <w:i/>
          <w:lang w:val="en-GB"/>
        </w:rPr>
        <w:t>tion of Rules Development as Well as to the Transparency of OMB Regulatory Reviews</w:t>
      </w:r>
      <w:r w:rsidRPr="00DB0A69">
        <w:rPr>
          <w:lang w:val="en-GB"/>
        </w:rPr>
        <w:t xml:space="preserve">, </w:t>
      </w:r>
      <w:r w:rsidRPr="00DB0A69">
        <w:rPr>
          <w:rFonts w:cs="TimesTen-Roman"/>
          <w:lang w:val="en-GB"/>
        </w:rPr>
        <w:t>GAO-09-205, April 20, 2009</w:t>
      </w:r>
      <w:r w:rsidRPr="00DB0A69">
        <w:rPr>
          <w:lang w:val="en-GB"/>
        </w:rPr>
        <w:t>).</w:t>
      </w:r>
    </w:p>
  </w:footnote>
  <w:footnote w:id="34">
    <w:p w:rsidR="008C522C" w:rsidRDefault="008C522C" w:rsidP="00612A13">
      <w:pPr>
        <w:pStyle w:val="TN"/>
      </w:pPr>
      <w:r w:rsidRPr="00DB0A69">
        <w:rPr>
          <w:rStyle w:val="FootnoteReference"/>
          <w:rFonts w:ascii="Garamond" w:hAnsi="Garamond" w:cs="Arial"/>
        </w:rPr>
        <w:footnoteRef/>
      </w:r>
      <w:r w:rsidRPr="00DB0A69">
        <w:t xml:space="preserve"> Commissione parlamentare per la semplificazione, </w:t>
      </w:r>
      <w:r w:rsidRPr="00DB0A69">
        <w:rPr>
          <w:i/>
        </w:rPr>
        <w:t>Documento conclusivo</w:t>
      </w:r>
      <w:r w:rsidRPr="00DB0A69">
        <w:t>,</w:t>
      </w:r>
      <w:r w:rsidRPr="00DB0A69">
        <w:rPr>
          <w:i/>
        </w:rPr>
        <w:t xml:space="preserve"> </w:t>
      </w:r>
      <w:r w:rsidRPr="00DB0A69">
        <w:t>cit.</w:t>
      </w:r>
      <w:r>
        <w:t>,</w:t>
      </w:r>
      <w:r w:rsidRPr="00DB0A69">
        <w:rPr>
          <w:i/>
        </w:rPr>
        <w:t xml:space="preserve">  </w:t>
      </w:r>
      <w:r w:rsidRPr="00DB0A69">
        <w:t>p. 48.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001"/>
  <w:defaultTabStop w:val="708"/>
  <w:autoHyphenation/>
  <w:hyphenationZone w:val="142"/>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C27"/>
    <w:rsid w:val="00022769"/>
    <w:rsid w:val="000259CA"/>
    <w:rsid w:val="00040373"/>
    <w:rsid w:val="00040737"/>
    <w:rsid w:val="00044859"/>
    <w:rsid w:val="000518EF"/>
    <w:rsid w:val="00054102"/>
    <w:rsid w:val="000564E3"/>
    <w:rsid w:val="00057972"/>
    <w:rsid w:val="0006167B"/>
    <w:rsid w:val="000647F5"/>
    <w:rsid w:val="00064F95"/>
    <w:rsid w:val="00071C53"/>
    <w:rsid w:val="00074BCD"/>
    <w:rsid w:val="00074D81"/>
    <w:rsid w:val="00075572"/>
    <w:rsid w:val="00080539"/>
    <w:rsid w:val="00084243"/>
    <w:rsid w:val="000A6785"/>
    <w:rsid w:val="000B0CE6"/>
    <w:rsid w:val="000D2155"/>
    <w:rsid w:val="000D7C47"/>
    <w:rsid w:val="000F019E"/>
    <w:rsid w:val="000F2C27"/>
    <w:rsid w:val="000F2E6D"/>
    <w:rsid w:val="00101643"/>
    <w:rsid w:val="001075AC"/>
    <w:rsid w:val="001111B3"/>
    <w:rsid w:val="00121CF5"/>
    <w:rsid w:val="00125D66"/>
    <w:rsid w:val="00136DF4"/>
    <w:rsid w:val="00137944"/>
    <w:rsid w:val="001548A8"/>
    <w:rsid w:val="00156AAF"/>
    <w:rsid w:val="00160D38"/>
    <w:rsid w:val="00167F1F"/>
    <w:rsid w:val="001847DA"/>
    <w:rsid w:val="00186EF2"/>
    <w:rsid w:val="001939EA"/>
    <w:rsid w:val="0019630D"/>
    <w:rsid w:val="00196502"/>
    <w:rsid w:val="001A58CF"/>
    <w:rsid w:val="001C5FC5"/>
    <w:rsid w:val="001D2306"/>
    <w:rsid w:val="001D6572"/>
    <w:rsid w:val="001E7590"/>
    <w:rsid w:val="002121E5"/>
    <w:rsid w:val="0022659C"/>
    <w:rsid w:val="00246A03"/>
    <w:rsid w:val="00251B26"/>
    <w:rsid w:val="00253F71"/>
    <w:rsid w:val="002573F5"/>
    <w:rsid w:val="0026593A"/>
    <w:rsid w:val="00267A7D"/>
    <w:rsid w:val="00271377"/>
    <w:rsid w:val="00272EA5"/>
    <w:rsid w:val="00284FB0"/>
    <w:rsid w:val="00293B90"/>
    <w:rsid w:val="00294AE2"/>
    <w:rsid w:val="00295B15"/>
    <w:rsid w:val="002A699C"/>
    <w:rsid w:val="002B2D5D"/>
    <w:rsid w:val="002C5C0C"/>
    <w:rsid w:val="002F508B"/>
    <w:rsid w:val="002F6A02"/>
    <w:rsid w:val="0031044A"/>
    <w:rsid w:val="00322299"/>
    <w:rsid w:val="003311B7"/>
    <w:rsid w:val="003325A9"/>
    <w:rsid w:val="003338D7"/>
    <w:rsid w:val="00345A1D"/>
    <w:rsid w:val="00357662"/>
    <w:rsid w:val="0036647D"/>
    <w:rsid w:val="00381054"/>
    <w:rsid w:val="003A25D9"/>
    <w:rsid w:val="003B13F3"/>
    <w:rsid w:val="003B5B44"/>
    <w:rsid w:val="003D159A"/>
    <w:rsid w:val="003D4D7A"/>
    <w:rsid w:val="003D53B8"/>
    <w:rsid w:val="00413BCD"/>
    <w:rsid w:val="00416F12"/>
    <w:rsid w:val="00433A57"/>
    <w:rsid w:val="004340F5"/>
    <w:rsid w:val="00443572"/>
    <w:rsid w:val="004554BD"/>
    <w:rsid w:val="00466109"/>
    <w:rsid w:val="0047420C"/>
    <w:rsid w:val="00475431"/>
    <w:rsid w:val="0048389E"/>
    <w:rsid w:val="004A0E57"/>
    <w:rsid w:val="004A0EB7"/>
    <w:rsid w:val="004C3D40"/>
    <w:rsid w:val="004C3E43"/>
    <w:rsid w:val="004D7E49"/>
    <w:rsid w:val="004E22CA"/>
    <w:rsid w:val="004E6BEC"/>
    <w:rsid w:val="004F6FCB"/>
    <w:rsid w:val="004F7B67"/>
    <w:rsid w:val="0050052E"/>
    <w:rsid w:val="00505D90"/>
    <w:rsid w:val="0051707A"/>
    <w:rsid w:val="00527800"/>
    <w:rsid w:val="005541B8"/>
    <w:rsid w:val="005615D5"/>
    <w:rsid w:val="00570EF8"/>
    <w:rsid w:val="00580AC8"/>
    <w:rsid w:val="0058514E"/>
    <w:rsid w:val="00592458"/>
    <w:rsid w:val="00592ACD"/>
    <w:rsid w:val="0059782D"/>
    <w:rsid w:val="005B2FD2"/>
    <w:rsid w:val="005B7BB3"/>
    <w:rsid w:val="005D070E"/>
    <w:rsid w:val="005D5B9E"/>
    <w:rsid w:val="005E0C15"/>
    <w:rsid w:val="0060562E"/>
    <w:rsid w:val="00606C38"/>
    <w:rsid w:val="00612A13"/>
    <w:rsid w:val="006207DA"/>
    <w:rsid w:val="00621A5C"/>
    <w:rsid w:val="0063242C"/>
    <w:rsid w:val="00645254"/>
    <w:rsid w:val="00654AA0"/>
    <w:rsid w:val="00657EF7"/>
    <w:rsid w:val="0066619E"/>
    <w:rsid w:val="006748E1"/>
    <w:rsid w:val="006803EC"/>
    <w:rsid w:val="0068377D"/>
    <w:rsid w:val="00690FB3"/>
    <w:rsid w:val="006966ED"/>
    <w:rsid w:val="006A4BCD"/>
    <w:rsid w:val="006B7D4D"/>
    <w:rsid w:val="006E1EC8"/>
    <w:rsid w:val="006E3345"/>
    <w:rsid w:val="006F2B36"/>
    <w:rsid w:val="006F73E6"/>
    <w:rsid w:val="00711EEE"/>
    <w:rsid w:val="00711EEF"/>
    <w:rsid w:val="00724ABA"/>
    <w:rsid w:val="00725C06"/>
    <w:rsid w:val="007266E5"/>
    <w:rsid w:val="007372BF"/>
    <w:rsid w:val="00742EFC"/>
    <w:rsid w:val="00743E9D"/>
    <w:rsid w:val="00747DCB"/>
    <w:rsid w:val="007725A0"/>
    <w:rsid w:val="007764E4"/>
    <w:rsid w:val="007770EB"/>
    <w:rsid w:val="007839A2"/>
    <w:rsid w:val="007A224C"/>
    <w:rsid w:val="007C4ECD"/>
    <w:rsid w:val="007C6102"/>
    <w:rsid w:val="007E3ECE"/>
    <w:rsid w:val="007F0489"/>
    <w:rsid w:val="007F274A"/>
    <w:rsid w:val="00803929"/>
    <w:rsid w:val="00806732"/>
    <w:rsid w:val="00817363"/>
    <w:rsid w:val="0085205A"/>
    <w:rsid w:val="0086566A"/>
    <w:rsid w:val="00886D4C"/>
    <w:rsid w:val="008901D3"/>
    <w:rsid w:val="008A1036"/>
    <w:rsid w:val="008B486C"/>
    <w:rsid w:val="008B78F9"/>
    <w:rsid w:val="008C522C"/>
    <w:rsid w:val="008C6997"/>
    <w:rsid w:val="008D16EB"/>
    <w:rsid w:val="008D1ACC"/>
    <w:rsid w:val="008F746B"/>
    <w:rsid w:val="00905E89"/>
    <w:rsid w:val="00917984"/>
    <w:rsid w:val="009251DD"/>
    <w:rsid w:val="009513F3"/>
    <w:rsid w:val="00951A61"/>
    <w:rsid w:val="00967D3A"/>
    <w:rsid w:val="009741C9"/>
    <w:rsid w:val="00975BE2"/>
    <w:rsid w:val="00977C3C"/>
    <w:rsid w:val="00986188"/>
    <w:rsid w:val="00986E65"/>
    <w:rsid w:val="00995582"/>
    <w:rsid w:val="009A5E8D"/>
    <w:rsid w:val="009B2449"/>
    <w:rsid w:val="009C2406"/>
    <w:rsid w:val="009C4C8C"/>
    <w:rsid w:val="009C70A5"/>
    <w:rsid w:val="009E6051"/>
    <w:rsid w:val="009F6EF6"/>
    <w:rsid w:val="00A02D98"/>
    <w:rsid w:val="00A1767A"/>
    <w:rsid w:val="00A249FA"/>
    <w:rsid w:val="00A27A1E"/>
    <w:rsid w:val="00A43A22"/>
    <w:rsid w:val="00A53CB1"/>
    <w:rsid w:val="00A54214"/>
    <w:rsid w:val="00A66BAF"/>
    <w:rsid w:val="00A7546D"/>
    <w:rsid w:val="00A874C4"/>
    <w:rsid w:val="00AA2D9B"/>
    <w:rsid w:val="00AB06E4"/>
    <w:rsid w:val="00AC0445"/>
    <w:rsid w:val="00AC6132"/>
    <w:rsid w:val="00AE520C"/>
    <w:rsid w:val="00B025AB"/>
    <w:rsid w:val="00B271D3"/>
    <w:rsid w:val="00B30664"/>
    <w:rsid w:val="00B41606"/>
    <w:rsid w:val="00B63B67"/>
    <w:rsid w:val="00B65CE9"/>
    <w:rsid w:val="00B804B8"/>
    <w:rsid w:val="00B8723D"/>
    <w:rsid w:val="00B95FBA"/>
    <w:rsid w:val="00B973CC"/>
    <w:rsid w:val="00BC1D6E"/>
    <w:rsid w:val="00BC38FE"/>
    <w:rsid w:val="00BD7C2A"/>
    <w:rsid w:val="00BD7C59"/>
    <w:rsid w:val="00BE0E78"/>
    <w:rsid w:val="00BE2429"/>
    <w:rsid w:val="00BF69D6"/>
    <w:rsid w:val="00C018C5"/>
    <w:rsid w:val="00C03537"/>
    <w:rsid w:val="00C062EC"/>
    <w:rsid w:val="00C20E90"/>
    <w:rsid w:val="00C40382"/>
    <w:rsid w:val="00C502F6"/>
    <w:rsid w:val="00C53225"/>
    <w:rsid w:val="00C72D13"/>
    <w:rsid w:val="00C778F9"/>
    <w:rsid w:val="00C817E5"/>
    <w:rsid w:val="00CA00B3"/>
    <w:rsid w:val="00CA169F"/>
    <w:rsid w:val="00CA61AE"/>
    <w:rsid w:val="00CB04FF"/>
    <w:rsid w:val="00CD4420"/>
    <w:rsid w:val="00CE0FFC"/>
    <w:rsid w:val="00CE67E9"/>
    <w:rsid w:val="00CF6133"/>
    <w:rsid w:val="00D12A6B"/>
    <w:rsid w:val="00D13D63"/>
    <w:rsid w:val="00D23F1F"/>
    <w:rsid w:val="00D333F1"/>
    <w:rsid w:val="00D33D21"/>
    <w:rsid w:val="00D366AF"/>
    <w:rsid w:val="00D3758A"/>
    <w:rsid w:val="00D4433F"/>
    <w:rsid w:val="00D44864"/>
    <w:rsid w:val="00D45560"/>
    <w:rsid w:val="00D51A4F"/>
    <w:rsid w:val="00D55E7E"/>
    <w:rsid w:val="00D560C4"/>
    <w:rsid w:val="00D64882"/>
    <w:rsid w:val="00D64FB9"/>
    <w:rsid w:val="00D67B2C"/>
    <w:rsid w:val="00D74171"/>
    <w:rsid w:val="00D76765"/>
    <w:rsid w:val="00D964B1"/>
    <w:rsid w:val="00DA1CCD"/>
    <w:rsid w:val="00DB0A69"/>
    <w:rsid w:val="00DB7682"/>
    <w:rsid w:val="00DC3883"/>
    <w:rsid w:val="00DC6BD7"/>
    <w:rsid w:val="00DD2AF6"/>
    <w:rsid w:val="00DE50FE"/>
    <w:rsid w:val="00DF09EC"/>
    <w:rsid w:val="00E30A8B"/>
    <w:rsid w:val="00E31C68"/>
    <w:rsid w:val="00E57E16"/>
    <w:rsid w:val="00E66991"/>
    <w:rsid w:val="00E66AFD"/>
    <w:rsid w:val="00E70873"/>
    <w:rsid w:val="00E72622"/>
    <w:rsid w:val="00E75068"/>
    <w:rsid w:val="00E85053"/>
    <w:rsid w:val="00E926DA"/>
    <w:rsid w:val="00EA2249"/>
    <w:rsid w:val="00EA39D9"/>
    <w:rsid w:val="00EC5CF0"/>
    <w:rsid w:val="00ED1308"/>
    <w:rsid w:val="00ED747A"/>
    <w:rsid w:val="00EE0DA0"/>
    <w:rsid w:val="00EE1CFF"/>
    <w:rsid w:val="00EF2A00"/>
    <w:rsid w:val="00EF4327"/>
    <w:rsid w:val="00F003DC"/>
    <w:rsid w:val="00F005E6"/>
    <w:rsid w:val="00F06608"/>
    <w:rsid w:val="00F10833"/>
    <w:rsid w:val="00F14C13"/>
    <w:rsid w:val="00F168EB"/>
    <w:rsid w:val="00F207AE"/>
    <w:rsid w:val="00F317EA"/>
    <w:rsid w:val="00F32B11"/>
    <w:rsid w:val="00F32EFA"/>
    <w:rsid w:val="00F351B7"/>
    <w:rsid w:val="00F3557E"/>
    <w:rsid w:val="00F41246"/>
    <w:rsid w:val="00F41DBF"/>
    <w:rsid w:val="00F44AE0"/>
    <w:rsid w:val="00F53C2A"/>
    <w:rsid w:val="00F54523"/>
    <w:rsid w:val="00F56EEC"/>
    <w:rsid w:val="00F77C2F"/>
    <w:rsid w:val="00F80E47"/>
    <w:rsid w:val="00F834DD"/>
    <w:rsid w:val="00FB0F41"/>
    <w:rsid w:val="00FB1BCB"/>
    <w:rsid w:val="00FB46EB"/>
    <w:rsid w:val="00FB6DE2"/>
    <w:rsid w:val="00FE548F"/>
    <w:rsid w:val="00FF785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8FE"/>
    <w:pPr>
      <w:widowControl w:val="0"/>
      <w:overflowPunct w:val="0"/>
      <w:autoSpaceDE w:val="0"/>
      <w:autoSpaceDN w:val="0"/>
      <w:adjustRightInd w:val="0"/>
      <w:textAlignment w:val="baseline"/>
    </w:pPr>
    <w:rPr>
      <w:szCs w:val="20"/>
    </w:rPr>
  </w:style>
  <w:style w:type="paragraph" w:styleId="Heading1">
    <w:name w:val="heading 1"/>
    <w:basedOn w:val="Normal"/>
    <w:next w:val="Normal"/>
    <w:link w:val="Heading1Char"/>
    <w:uiPriority w:val="99"/>
    <w:qFormat/>
    <w:rsid w:val="00BC38F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BFD"/>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rsid w:val="002573F5"/>
    <w:rPr>
      <w:rFonts w:ascii="Tahoma" w:hAnsi="Tahoma" w:cs="Tahoma"/>
      <w:sz w:val="16"/>
      <w:szCs w:val="16"/>
    </w:rPr>
  </w:style>
  <w:style w:type="character" w:customStyle="1" w:styleId="BalloonTextChar">
    <w:name w:val="Balloon Text Char"/>
    <w:basedOn w:val="DefaultParagraphFont"/>
    <w:link w:val="BalloonText"/>
    <w:uiPriority w:val="99"/>
    <w:locked/>
    <w:rsid w:val="002573F5"/>
    <w:rPr>
      <w:rFonts w:ascii="Tahoma" w:hAnsi="Tahoma" w:cs="Tahoma"/>
      <w:sz w:val="16"/>
      <w:szCs w:val="16"/>
    </w:rPr>
  </w:style>
  <w:style w:type="character" w:styleId="FootnoteReference">
    <w:name w:val="footnote reference"/>
    <w:aliases w:val="Footnote"/>
    <w:basedOn w:val="DefaultParagraphFont"/>
    <w:uiPriority w:val="99"/>
    <w:rsid w:val="004340F5"/>
    <w:rPr>
      <w:rFonts w:ascii="Times New Roman" w:hAnsi="Times New Roman" w:cs="Times New Roman"/>
      <w:sz w:val="22"/>
      <w:vertAlign w:val="superscript"/>
    </w:rPr>
  </w:style>
  <w:style w:type="paragraph" w:customStyle="1" w:styleId="Rsigla">
    <w:name w:val="R_sigla"/>
    <w:basedOn w:val="Normal"/>
    <w:uiPriority w:val="99"/>
    <w:rsid w:val="004340F5"/>
    <w:pPr>
      <w:overflowPunct/>
      <w:spacing w:line="240" w:lineRule="exact"/>
      <w:jc w:val="both"/>
      <w:textAlignment w:val="auto"/>
    </w:pPr>
    <w:rPr>
      <w:rFonts w:ascii="Arial" w:hAnsi="Arial"/>
      <w:color w:val="000000"/>
      <w:sz w:val="20"/>
      <w:szCs w:val="22"/>
      <w:lang w:val="en-US"/>
    </w:rPr>
  </w:style>
  <w:style w:type="paragraph" w:customStyle="1" w:styleId="Rvoce">
    <w:name w:val="R_voce"/>
    <w:basedOn w:val="Normal"/>
    <w:uiPriority w:val="99"/>
    <w:rsid w:val="004340F5"/>
    <w:pPr>
      <w:overflowPunct/>
      <w:spacing w:line="240" w:lineRule="exact"/>
      <w:jc w:val="both"/>
      <w:textAlignment w:val="auto"/>
    </w:pPr>
    <w:rPr>
      <w:rFonts w:ascii="Arial" w:hAnsi="Arial"/>
      <w:color w:val="000000"/>
      <w:sz w:val="20"/>
      <w:szCs w:val="22"/>
      <w:lang w:val="en-US"/>
    </w:rPr>
  </w:style>
  <w:style w:type="paragraph" w:customStyle="1" w:styleId="Rarea">
    <w:name w:val="R_area"/>
    <w:basedOn w:val="Normal"/>
    <w:uiPriority w:val="99"/>
    <w:rsid w:val="004340F5"/>
    <w:pPr>
      <w:overflowPunct/>
      <w:spacing w:line="240" w:lineRule="exact"/>
      <w:jc w:val="both"/>
      <w:textAlignment w:val="auto"/>
    </w:pPr>
    <w:rPr>
      <w:rFonts w:ascii="Arial" w:hAnsi="Arial"/>
      <w:color w:val="000000"/>
      <w:sz w:val="20"/>
      <w:szCs w:val="22"/>
      <w:lang w:val="en-US"/>
    </w:rPr>
  </w:style>
  <w:style w:type="paragraph" w:customStyle="1" w:styleId="Rabs">
    <w:name w:val="R_abs"/>
    <w:basedOn w:val="Normal"/>
    <w:uiPriority w:val="99"/>
    <w:rsid w:val="004340F5"/>
    <w:pPr>
      <w:overflowPunct/>
      <w:spacing w:line="240" w:lineRule="exact"/>
      <w:jc w:val="both"/>
      <w:textAlignment w:val="auto"/>
    </w:pPr>
    <w:rPr>
      <w:rFonts w:ascii="Arial" w:hAnsi="Arial"/>
      <w:color w:val="000000"/>
      <w:sz w:val="20"/>
      <w:szCs w:val="22"/>
      <w:lang w:val="en-US"/>
    </w:rPr>
  </w:style>
  <w:style w:type="paragraph" w:customStyle="1" w:styleId="Rtest">
    <w:name w:val="R_test"/>
    <w:uiPriority w:val="99"/>
    <w:rsid w:val="004340F5"/>
    <w:pPr>
      <w:spacing w:line="240" w:lineRule="exact"/>
    </w:pPr>
    <w:rPr>
      <w:rFonts w:ascii="Arial" w:hAnsi="Arial"/>
      <w:sz w:val="20"/>
      <w:szCs w:val="20"/>
    </w:rPr>
  </w:style>
  <w:style w:type="paragraph" w:styleId="Header">
    <w:name w:val="header"/>
    <w:basedOn w:val="Normal"/>
    <w:link w:val="HeaderChar"/>
    <w:uiPriority w:val="99"/>
    <w:rsid w:val="00BC38FE"/>
    <w:pPr>
      <w:tabs>
        <w:tab w:val="center" w:pos="4819"/>
        <w:tab w:val="right" w:pos="9638"/>
      </w:tabs>
    </w:pPr>
  </w:style>
  <w:style w:type="character" w:customStyle="1" w:styleId="HeaderChar">
    <w:name w:val="Header Char"/>
    <w:basedOn w:val="DefaultParagraphFont"/>
    <w:link w:val="Header"/>
    <w:uiPriority w:val="99"/>
    <w:semiHidden/>
    <w:locked/>
    <w:rsid w:val="002F6A02"/>
    <w:rPr>
      <w:rFonts w:cs="Times New Roman"/>
      <w:sz w:val="22"/>
      <w:lang w:val="it-IT" w:eastAsia="it-IT" w:bidi="ar-SA"/>
    </w:rPr>
  </w:style>
  <w:style w:type="character" w:styleId="PageNumber">
    <w:name w:val="page number"/>
    <w:basedOn w:val="DefaultParagraphFont"/>
    <w:uiPriority w:val="99"/>
    <w:rsid w:val="00725C06"/>
    <w:rPr>
      <w:rFonts w:cs="Times New Roman"/>
    </w:rPr>
  </w:style>
  <w:style w:type="paragraph" w:styleId="FootnoteText">
    <w:name w:val="footnote text"/>
    <w:basedOn w:val="Normal"/>
    <w:link w:val="FootnoteTextChar"/>
    <w:uiPriority w:val="99"/>
    <w:rsid w:val="00C778F9"/>
    <w:rPr>
      <w:sz w:val="20"/>
    </w:rPr>
  </w:style>
  <w:style w:type="character" w:customStyle="1" w:styleId="FootnoteTextChar">
    <w:name w:val="Footnote Text Char"/>
    <w:basedOn w:val="DefaultParagraphFont"/>
    <w:link w:val="FootnoteText"/>
    <w:uiPriority w:val="99"/>
    <w:locked/>
    <w:rsid w:val="00AC0445"/>
    <w:rPr>
      <w:rFonts w:cs="Times New Roman"/>
    </w:rPr>
  </w:style>
  <w:style w:type="paragraph" w:customStyle="1" w:styleId="ABS">
    <w:name w:val="ABS"/>
    <w:basedOn w:val="Normal"/>
    <w:uiPriority w:val="99"/>
    <w:rsid w:val="00080539"/>
    <w:pPr>
      <w:widowControl/>
      <w:pBdr>
        <w:top w:val="single" w:sz="18" w:space="4" w:color="808080"/>
        <w:bottom w:val="single" w:sz="18" w:space="4" w:color="808080"/>
      </w:pBdr>
      <w:overflowPunct/>
      <w:autoSpaceDE/>
      <w:autoSpaceDN/>
      <w:adjustRightInd/>
      <w:spacing w:after="480" w:line="230" w:lineRule="exact"/>
      <w:contextualSpacing/>
      <w:jc w:val="both"/>
      <w:textAlignment w:val="auto"/>
    </w:pPr>
    <w:rPr>
      <w:rFonts w:ascii="Arial" w:hAnsi="Arial" w:cs="Arial"/>
      <w:sz w:val="21"/>
    </w:rPr>
  </w:style>
  <w:style w:type="paragraph" w:customStyle="1" w:styleId="OCCH">
    <w:name w:val="OCCH"/>
    <w:basedOn w:val="Normal"/>
    <w:next w:val="Normal"/>
    <w:uiPriority w:val="99"/>
    <w:rsid w:val="00CF6133"/>
    <w:pPr>
      <w:overflowPunct/>
      <w:spacing w:before="240" w:line="280" w:lineRule="exact"/>
      <w:textAlignment w:val="auto"/>
    </w:pPr>
    <w:rPr>
      <w:rFonts w:ascii="Arial" w:hAnsi="Arial" w:cs="Arial"/>
      <w:bCs/>
      <w:sz w:val="28"/>
      <w:szCs w:val="22"/>
      <w:u w:val="single"/>
    </w:rPr>
  </w:style>
  <w:style w:type="paragraph" w:customStyle="1" w:styleId="TIT">
    <w:name w:val="TIT"/>
    <w:basedOn w:val="Heading1"/>
    <w:uiPriority w:val="99"/>
    <w:rsid w:val="00CF6133"/>
    <w:pPr>
      <w:overflowPunct/>
      <w:spacing w:after="360" w:line="680" w:lineRule="exact"/>
      <w:textAlignment w:val="auto"/>
      <w:outlineLvl w:val="9"/>
    </w:pPr>
    <w:rPr>
      <w:b w:val="0"/>
      <w:noProof/>
      <w:kern w:val="28"/>
      <w:sz w:val="68"/>
      <w:szCs w:val="28"/>
    </w:rPr>
  </w:style>
  <w:style w:type="paragraph" w:customStyle="1" w:styleId="SN">
    <w:name w:val="SN"/>
    <w:basedOn w:val="Normal"/>
    <w:uiPriority w:val="99"/>
    <w:rsid w:val="00CF6133"/>
    <w:pPr>
      <w:overflowPunct/>
      <w:spacing w:line="190" w:lineRule="exact"/>
      <w:jc w:val="both"/>
      <w:textAlignment w:val="auto"/>
    </w:pPr>
    <w:rPr>
      <w:rFonts w:ascii="Arial" w:hAnsi="Arial" w:cs="Arial"/>
      <w:sz w:val="17"/>
    </w:rPr>
  </w:style>
  <w:style w:type="paragraph" w:customStyle="1" w:styleId="TN">
    <w:name w:val="TN"/>
    <w:uiPriority w:val="99"/>
    <w:rsid w:val="00CF6133"/>
    <w:pPr>
      <w:widowControl w:val="0"/>
      <w:autoSpaceDE w:val="0"/>
      <w:autoSpaceDN w:val="0"/>
      <w:adjustRightInd w:val="0"/>
      <w:spacing w:before="100" w:line="190" w:lineRule="exact"/>
      <w:jc w:val="both"/>
    </w:pPr>
    <w:rPr>
      <w:rFonts w:ascii="Arial" w:hAnsi="Arial" w:cs="Arial"/>
      <w:sz w:val="17"/>
      <w:szCs w:val="20"/>
    </w:rPr>
  </w:style>
  <w:style w:type="paragraph" w:customStyle="1" w:styleId="ESTREMO">
    <w:name w:val="ESTREMO"/>
    <w:uiPriority w:val="99"/>
    <w:rsid w:val="00136DF4"/>
    <w:pPr>
      <w:spacing w:before="360" w:line="240" w:lineRule="exact"/>
    </w:pPr>
    <w:rPr>
      <w:rFonts w:ascii="Arial" w:hAnsi="Arial"/>
      <w:noProof/>
      <w:szCs w:val="20"/>
    </w:rPr>
  </w:style>
  <w:style w:type="paragraph" w:customStyle="1" w:styleId="EPIGRAFE">
    <w:name w:val="EPIGRAFE"/>
    <w:uiPriority w:val="99"/>
    <w:rsid w:val="00A02D98"/>
    <w:pPr>
      <w:spacing w:before="220" w:line="240" w:lineRule="exact"/>
    </w:pPr>
    <w:rPr>
      <w:rFonts w:ascii="Arial" w:hAnsi="Arial"/>
      <w:bCs/>
      <w:noProof/>
      <w:sz w:val="19"/>
      <w:szCs w:val="20"/>
    </w:rPr>
  </w:style>
  <w:style w:type="paragraph" w:customStyle="1" w:styleId="TITPROVV1">
    <w:name w:val="TITPROVV1"/>
    <w:uiPriority w:val="99"/>
    <w:rsid w:val="00136DF4"/>
    <w:pPr>
      <w:overflowPunct w:val="0"/>
      <w:autoSpaceDE w:val="0"/>
      <w:autoSpaceDN w:val="0"/>
      <w:adjustRightInd w:val="0"/>
      <w:spacing w:before="230" w:after="100" w:line="230" w:lineRule="exact"/>
      <w:jc w:val="center"/>
      <w:textAlignment w:val="baseline"/>
    </w:pPr>
    <w:rPr>
      <w:noProof/>
      <w:sz w:val="21"/>
      <w:szCs w:val="20"/>
    </w:rPr>
  </w:style>
  <w:style w:type="paragraph" w:customStyle="1" w:styleId="TESTO">
    <w:name w:val="TESTO"/>
    <w:basedOn w:val="Normal"/>
    <w:uiPriority w:val="99"/>
    <w:rsid w:val="00136DF4"/>
    <w:pPr>
      <w:widowControl/>
      <w:spacing w:line="230" w:lineRule="exact"/>
      <w:jc w:val="both"/>
    </w:pPr>
    <w:rPr>
      <w:sz w:val="21"/>
    </w:rPr>
  </w:style>
  <w:style w:type="paragraph" w:customStyle="1" w:styleId="AUTORE">
    <w:name w:val="AUTORE"/>
    <w:uiPriority w:val="99"/>
    <w:rsid w:val="00D366AF"/>
    <w:pPr>
      <w:widowControl w:val="0"/>
      <w:autoSpaceDE w:val="0"/>
      <w:autoSpaceDN w:val="0"/>
      <w:adjustRightInd w:val="0"/>
      <w:spacing w:after="240" w:line="280" w:lineRule="exact"/>
      <w:jc w:val="center"/>
    </w:pPr>
    <w:rPr>
      <w:rFonts w:ascii="Arial" w:hAnsi="Arial"/>
      <w:iCs/>
      <w:noProof/>
      <w:sz w:val="28"/>
      <w:szCs w:val="20"/>
    </w:rPr>
  </w:style>
  <w:style w:type="paragraph" w:customStyle="1" w:styleId="TITCOMM">
    <w:name w:val="TITCOMM"/>
    <w:basedOn w:val="Normal"/>
    <w:uiPriority w:val="99"/>
    <w:rsid w:val="00CF6133"/>
    <w:pPr>
      <w:overflowPunct/>
      <w:spacing w:before="480" w:line="320" w:lineRule="exact"/>
      <w:jc w:val="center"/>
      <w:textAlignment w:val="auto"/>
    </w:pPr>
    <w:rPr>
      <w:rFonts w:ascii="Arial" w:hAnsi="Arial" w:cs="Arial"/>
      <w:b/>
      <w:bCs/>
      <w:iCs/>
      <w:sz w:val="32"/>
    </w:rPr>
  </w:style>
  <w:style w:type="paragraph" w:customStyle="1" w:styleId="TIT1">
    <w:name w:val="TIT1"/>
    <w:basedOn w:val="Normal"/>
    <w:uiPriority w:val="99"/>
    <w:rsid w:val="004E6BEC"/>
    <w:pPr>
      <w:overflowPunct/>
      <w:spacing w:before="240" w:after="120" w:line="260" w:lineRule="exact"/>
      <w:textAlignment w:val="auto"/>
    </w:pPr>
    <w:rPr>
      <w:rFonts w:ascii="Arial" w:hAnsi="Arial" w:cs="Arial"/>
      <w:b/>
      <w:bCs/>
      <w:noProof/>
      <w:sz w:val="23"/>
      <w:szCs w:val="24"/>
    </w:rPr>
  </w:style>
  <w:style w:type="paragraph" w:customStyle="1" w:styleId="TIT2">
    <w:name w:val="TIT2"/>
    <w:basedOn w:val="TIT1"/>
    <w:uiPriority w:val="99"/>
    <w:rsid w:val="004E6BEC"/>
    <w:pPr>
      <w:widowControl/>
      <w:overflowPunct w:val="0"/>
      <w:textAlignment w:val="baseline"/>
    </w:pPr>
    <w:rPr>
      <w:rFonts w:ascii="Times New Roman" w:hAnsi="Times New Roman" w:cs="Times New Roman"/>
      <w:bCs w:val="0"/>
      <w:i/>
      <w:szCs w:val="20"/>
    </w:rPr>
  </w:style>
  <w:style w:type="paragraph" w:customStyle="1" w:styleId="TESTOTAB">
    <w:name w:val="TESTOTAB"/>
    <w:basedOn w:val="Normal"/>
    <w:uiPriority w:val="99"/>
    <w:rsid w:val="00CF6133"/>
    <w:pPr>
      <w:widowControl/>
      <w:spacing w:line="200" w:lineRule="exact"/>
      <w:jc w:val="both"/>
    </w:pPr>
    <w:rPr>
      <w:rFonts w:ascii="Arial" w:hAnsi="Arial"/>
      <w:sz w:val="18"/>
    </w:rPr>
  </w:style>
  <w:style w:type="paragraph" w:customStyle="1" w:styleId="TESTOCOMM">
    <w:name w:val="TESTOCOMM"/>
    <w:uiPriority w:val="99"/>
    <w:rsid w:val="00284FB0"/>
    <w:pPr>
      <w:autoSpaceDE w:val="0"/>
      <w:autoSpaceDN w:val="0"/>
      <w:adjustRightInd w:val="0"/>
      <w:spacing w:line="260" w:lineRule="exact"/>
      <w:ind w:firstLine="284"/>
      <w:jc w:val="both"/>
    </w:pPr>
    <w:rPr>
      <w:sz w:val="23"/>
      <w:szCs w:val="20"/>
    </w:rPr>
  </w:style>
  <w:style w:type="paragraph" w:customStyle="1" w:styleId="RIF">
    <w:name w:val="RIF"/>
    <w:uiPriority w:val="99"/>
    <w:rsid w:val="00272EA5"/>
    <w:pPr>
      <w:spacing w:line="190" w:lineRule="exact"/>
    </w:pPr>
    <w:rPr>
      <w:rFonts w:ascii="Arial" w:hAnsi="Arial"/>
      <w:i/>
      <w:sz w:val="17"/>
      <w:szCs w:val="20"/>
    </w:rPr>
  </w:style>
  <w:style w:type="paragraph" w:customStyle="1" w:styleId="TIT9">
    <w:name w:val="TIT9"/>
    <w:uiPriority w:val="99"/>
    <w:rsid w:val="001548A8"/>
    <w:pPr>
      <w:spacing w:before="240" w:after="60" w:line="220" w:lineRule="exact"/>
    </w:pPr>
    <w:rPr>
      <w:rFonts w:ascii="Arial" w:hAnsi="Arial"/>
      <w:b/>
      <w:noProof/>
      <w:sz w:val="20"/>
      <w:szCs w:val="20"/>
    </w:rPr>
  </w:style>
  <w:style w:type="paragraph" w:customStyle="1" w:styleId="NOTATAB">
    <w:name w:val="NOTATAB"/>
    <w:uiPriority w:val="99"/>
    <w:rsid w:val="001548A8"/>
    <w:pPr>
      <w:spacing w:line="190" w:lineRule="exact"/>
      <w:jc w:val="both"/>
    </w:pPr>
    <w:rPr>
      <w:rFonts w:ascii="Arial" w:hAnsi="Arial"/>
      <w:sz w:val="17"/>
      <w:szCs w:val="20"/>
    </w:rPr>
  </w:style>
  <w:style w:type="paragraph" w:customStyle="1" w:styleId="TESTATAB">
    <w:name w:val="TESTATAB"/>
    <w:basedOn w:val="TESTOTAB"/>
    <w:uiPriority w:val="99"/>
    <w:rsid w:val="001548A8"/>
    <w:pPr>
      <w:shd w:val="clear" w:color="auto" w:fill="CCCCCC"/>
      <w:jc w:val="center"/>
    </w:pPr>
    <w:rPr>
      <w:b/>
    </w:rPr>
  </w:style>
  <w:style w:type="paragraph" w:customStyle="1" w:styleId="TITPROVV2">
    <w:name w:val="TITPROVV2"/>
    <w:basedOn w:val="Normal"/>
    <w:uiPriority w:val="99"/>
    <w:rsid w:val="00D366AF"/>
    <w:pPr>
      <w:widowControl/>
      <w:spacing w:before="120" w:after="60"/>
    </w:pPr>
    <w:rPr>
      <w:b/>
      <w:noProof/>
      <w:sz w:val="21"/>
    </w:rPr>
  </w:style>
  <w:style w:type="paragraph" w:customStyle="1" w:styleId="TITPROVV3">
    <w:name w:val="TITPROVV3"/>
    <w:basedOn w:val="Normal"/>
    <w:uiPriority w:val="99"/>
    <w:rsid w:val="00D366AF"/>
    <w:pPr>
      <w:widowControl/>
      <w:spacing w:before="120" w:after="60"/>
    </w:pPr>
    <w:rPr>
      <w:b/>
      <w:i/>
      <w:noProof/>
      <w:sz w:val="21"/>
    </w:rPr>
  </w:style>
  <w:style w:type="paragraph" w:customStyle="1" w:styleId="TITPROVV4">
    <w:name w:val="TITPROVV4"/>
    <w:basedOn w:val="Normal"/>
    <w:uiPriority w:val="99"/>
    <w:rsid w:val="009A5E8D"/>
    <w:pPr>
      <w:widowControl/>
      <w:spacing w:before="120"/>
    </w:pPr>
    <w:rPr>
      <w:noProof/>
      <w:sz w:val="21"/>
    </w:rPr>
  </w:style>
  <w:style w:type="paragraph" w:customStyle="1" w:styleId="MASSIMA">
    <w:name w:val="MASSIMA"/>
    <w:basedOn w:val="Normal"/>
    <w:uiPriority w:val="99"/>
    <w:rsid w:val="0058514E"/>
    <w:pPr>
      <w:spacing w:before="230" w:line="230" w:lineRule="exact"/>
      <w:jc w:val="both"/>
    </w:pPr>
    <w:rPr>
      <w:rFonts w:ascii="Arial" w:hAnsi="Arial"/>
      <w:b/>
      <w:sz w:val="19"/>
    </w:rPr>
  </w:style>
  <w:style w:type="paragraph" w:customStyle="1" w:styleId="ARGOMENTI">
    <w:name w:val="ARGOMENTI"/>
    <w:basedOn w:val="Normal"/>
    <w:uiPriority w:val="99"/>
    <w:rsid w:val="0058514E"/>
    <w:pPr>
      <w:spacing w:before="230" w:line="230" w:lineRule="exact"/>
      <w:jc w:val="both"/>
    </w:pPr>
    <w:rPr>
      <w:rFonts w:ascii="Arial" w:hAnsi="Arial"/>
      <w:i/>
      <w:sz w:val="19"/>
    </w:rPr>
  </w:style>
  <w:style w:type="paragraph" w:customStyle="1" w:styleId="RLOG">
    <w:name w:val="R_LOG"/>
    <w:basedOn w:val="Rvoce"/>
    <w:uiPriority w:val="99"/>
    <w:rsid w:val="00156AAF"/>
    <w:rPr>
      <w:lang w:val="it-IT"/>
    </w:rPr>
  </w:style>
  <w:style w:type="paragraph" w:customStyle="1" w:styleId="RRIV">
    <w:name w:val="R_RIV"/>
    <w:basedOn w:val="RLOG"/>
    <w:uiPriority w:val="99"/>
    <w:rsid w:val="00156AAF"/>
  </w:style>
  <w:style w:type="paragraph" w:customStyle="1" w:styleId="ART">
    <w:name w:val="ART"/>
    <w:uiPriority w:val="99"/>
    <w:rsid w:val="00D964B1"/>
    <w:pPr>
      <w:overflowPunct w:val="0"/>
      <w:autoSpaceDE w:val="0"/>
      <w:autoSpaceDN w:val="0"/>
      <w:adjustRightInd w:val="0"/>
      <w:spacing w:before="120"/>
      <w:jc w:val="center"/>
      <w:textAlignment w:val="baseline"/>
    </w:pPr>
    <w:rPr>
      <w:noProof/>
      <w:sz w:val="20"/>
      <w:szCs w:val="20"/>
    </w:rPr>
  </w:style>
  <w:style w:type="paragraph" w:customStyle="1" w:styleId="IMMAGINE">
    <w:name w:val="IMMAGINE"/>
    <w:basedOn w:val="TESTOTAB"/>
    <w:uiPriority w:val="99"/>
    <w:rsid w:val="007764E4"/>
  </w:style>
  <w:style w:type="paragraph" w:customStyle="1" w:styleId="SART">
    <w:name w:val="SART"/>
    <w:basedOn w:val="ART"/>
    <w:uiPriority w:val="99"/>
    <w:rsid w:val="00D964B1"/>
    <w:pPr>
      <w:spacing w:before="0"/>
    </w:pPr>
    <w:rPr>
      <w:i/>
    </w:rPr>
  </w:style>
  <w:style w:type="paragraph" w:customStyle="1" w:styleId="TESTOE">
    <w:name w:val="TESTOE"/>
    <w:basedOn w:val="TESTOTAB"/>
    <w:uiPriority w:val="99"/>
    <w:rsid w:val="00F14C13"/>
    <w:pPr>
      <w:widowControl w:val="0"/>
      <w:spacing w:line="270" w:lineRule="exact"/>
    </w:pPr>
    <w:rPr>
      <w:i/>
      <w:sz w:val="21"/>
    </w:rPr>
  </w:style>
  <w:style w:type="paragraph" w:customStyle="1" w:styleId="TIT3">
    <w:name w:val="TIT3"/>
    <w:basedOn w:val="TIT2"/>
    <w:uiPriority w:val="99"/>
    <w:rsid w:val="00271377"/>
    <w:rPr>
      <w:b w:val="0"/>
    </w:rPr>
  </w:style>
  <w:style w:type="paragraph" w:customStyle="1" w:styleId="TIT4">
    <w:name w:val="TIT4"/>
    <w:basedOn w:val="TIT2"/>
    <w:uiPriority w:val="99"/>
    <w:rsid w:val="00271377"/>
    <w:rPr>
      <w:b w:val="0"/>
      <w:i w:val="0"/>
    </w:rPr>
  </w:style>
  <w:style w:type="paragraph" w:customStyle="1" w:styleId="FIRMA">
    <w:name w:val="FIRMA"/>
    <w:basedOn w:val="TESTOCOMM"/>
    <w:uiPriority w:val="99"/>
    <w:rsid w:val="0086566A"/>
    <w:pPr>
      <w:spacing w:before="120"/>
      <w:ind w:firstLine="0"/>
      <w:jc w:val="right"/>
    </w:pPr>
    <w:rPr>
      <w:i/>
    </w:rPr>
  </w:style>
  <w:style w:type="paragraph" w:customStyle="1" w:styleId="Rsottosezione">
    <w:name w:val="R_sottosezione"/>
    <w:basedOn w:val="Rtest"/>
    <w:uiPriority w:val="99"/>
    <w:rsid w:val="00803929"/>
  </w:style>
  <w:style w:type="table" w:styleId="TableGrid">
    <w:name w:val="Table Grid"/>
    <w:basedOn w:val="TableNormal"/>
    <w:uiPriority w:val="99"/>
    <w:rsid w:val="002F6A02"/>
    <w:pPr>
      <w:widowControl w:val="0"/>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DOC">
    <w:name w:val="TESTO-DOC"/>
    <w:basedOn w:val="Normal"/>
    <w:uiPriority w:val="99"/>
    <w:rsid w:val="002F6A02"/>
    <w:pPr>
      <w:widowControl/>
      <w:spacing w:line="230" w:lineRule="exact"/>
      <w:jc w:val="both"/>
    </w:pPr>
    <w:rPr>
      <w:sz w:val="21"/>
    </w:rPr>
  </w:style>
  <w:style w:type="paragraph" w:customStyle="1" w:styleId="SOTTO-TITCOMM">
    <w:name w:val="SOTTO-TITCOMM"/>
    <w:basedOn w:val="Normal"/>
    <w:uiPriority w:val="99"/>
    <w:rsid w:val="00ED747A"/>
    <w:pPr>
      <w:pBdr>
        <w:top w:val="single" w:sz="12" w:space="1" w:color="auto"/>
        <w:bottom w:val="single" w:sz="12" w:space="1" w:color="auto"/>
      </w:pBdr>
      <w:overflowPunct/>
      <w:spacing w:before="480" w:line="320" w:lineRule="exact"/>
      <w:textAlignment w:val="auto"/>
    </w:pPr>
    <w:rPr>
      <w:rFonts w:ascii="Arial" w:hAnsi="Arial" w:cs="Arial"/>
      <w:b/>
      <w:bCs/>
      <w:iCs/>
      <w:sz w:val="24"/>
    </w:rPr>
  </w:style>
  <w:style w:type="paragraph" w:customStyle="1" w:styleId="TITPROVV">
    <w:name w:val="TITPROVV"/>
    <w:uiPriority w:val="99"/>
    <w:rsid w:val="00074BCD"/>
    <w:pPr>
      <w:spacing w:before="220" w:line="240" w:lineRule="exact"/>
    </w:pPr>
    <w:rPr>
      <w:rFonts w:ascii="Arial" w:hAnsi="Arial"/>
      <w:bCs/>
      <w:noProof/>
      <w:sz w:val="19"/>
      <w:szCs w:val="20"/>
    </w:rPr>
  </w:style>
  <w:style w:type="paragraph" w:styleId="Footer">
    <w:name w:val="footer"/>
    <w:basedOn w:val="Normal"/>
    <w:link w:val="FooterChar"/>
    <w:uiPriority w:val="99"/>
    <w:rsid w:val="009C4C8C"/>
    <w:pPr>
      <w:tabs>
        <w:tab w:val="center" w:pos="4819"/>
        <w:tab w:val="right" w:pos="9638"/>
      </w:tabs>
    </w:pPr>
  </w:style>
  <w:style w:type="character" w:customStyle="1" w:styleId="FooterChar">
    <w:name w:val="Footer Char"/>
    <w:basedOn w:val="DefaultParagraphFont"/>
    <w:link w:val="Footer"/>
    <w:uiPriority w:val="99"/>
    <w:locked/>
    <w:rsid w:val="009C4C8C"/>
    <w:rPr>
      <w:rFonts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Progetto_Riviste_XML\SCAMBIO%20DOCUMENTI\SINERGIE\03_NUOVI%20MODELLI%20LEGALE%20RELEASE%202.0_CON%20MACRO%20PULIZIA\GIUR-NORM-P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GIUR-NORM-PRA.dot</Template>
  <TotalTime>1</TotalTime>
  <Pages>9</Pages>
  <Words>4572</Words>
  <Characters>26066</Characters>
  <Application>Microsoft Office Outlook</Application>
  <DocSecurity>0</DocSecurity>
  <Lines>0</Lines>
  <Paragraphs>0</Paragraphs>
  <ScaleCrop>false</ScaleCrop>
  <Company>ABCompos S.r.l.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SOMMARIO</dc:title>
  <dc:subject/>
  <dc:creator>Zanin Giusy</dc:creator>
  <cp:keywords/>
  <dc:description/>
  <cp:lastModifiedBy>uanasstg</cp:lastModifiedBy>
  <cp:revision>2</cp:revision>
  <cp:lastPrinted>2014-09-10T14:07:00Z</cp:lastPrinted>
  <dcterms:created xsi:type="dcterms:W3CDTF">2015-05-29T14:39:00Z</dcterms:created>
  <dcterms:modified xsi:type="dcterms:W3CDTF">2015-05-29T14:39:00Z</dcterms:modified>
</cp:coreProperties>
</file>