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7A" w:rsidRDefault="00DC287A" w:rsidP="00DC287A">
      <w:pPr>
        <w:jc w:val="center"/>
      </w:pPr>
      <w:r>
        <w:t>Luisa Torchia</w:t>
      </w:r>
    </w:p>
    <w:p w:rsidR="00E14D23" w:rsidRDefault="00A87C4F" w:rsidP="00DC287A">
      <w:pPr>
        <w:jc w:val="center"/>
      </w:pPr>
      <w:r>
        <w:t xml:space="preserve">I poteri </w:t>
      </w:r>
      <w:r w:rsidR="00BA7F53">
        <w:t xml:space="preserve">di regolazione e di </w:t>
      </w:r>
      <w:r>
        <w:t>controllo</w:t>
      </w:r>
      <w:r w:rsidR="00BA7F53">
        <w:t xml:space="preserve"> delle autorità di vigilanza sui mercati finanziari nella nuova disciplina europea</w:t>
      </w:r>
      <w:r w:rsidR="00B25E0B">
        <w:t>*</w:t>
      </w:r>
    </w:p>
    <w:p w:rsidR="00A87C4F" w:rsidRDefault="00A87C4F"/>
    <w:p w:rsidR="00DC287A" w:rsidRDefault="00DC287A"/>
    <w:p w:rsidR="00DC287A" w:rsidRDefault="00DC287A">
      <w:r>
        <w:t>Sommario</w:t>
      </w:r>
    </w:p>
    <w:p w:rsidR="00DC287A" w:rsidRDefault="00DC287A"/>
    <w:p w:rsidR="00DC287A" w:rsidRDefault="00DC287A" w:rsidP="00DC287A">
      <w:r>
        <w:t xml:space="preserve">1. </w:t>
      </w:r>
      <w:r w:rsidR="00183007">
        <w:t>La regolazione dei mercati finanziari e la crisi globale</w:t>
      </w:r>
    </w:p>
    <w:p w:rsidR="00E61DEA" w:rsidRPr="00311C6D" w:rsidRDefault="00E61DEA" w:rsidP="00E61DEA">
      <w:r w:rsidRPr="00311C6D">
        <w:t>2. I poteri di regolazione e di supervisione de</w:t>
      </w:r>
      <w:r>
        <w:t>lle autorità di vigilanza europee</w:t>
      </w:r>
      <w:r w:rsidR="009D3F3C">
        <w:t>: un nuovo sistema amministrativo?</w:t>
      </w:r>
    </w:p>
    <w:p w:rsidR="00311C6D" w:rsidRPr="00183007" w:rsidRDefault="007316E8" w:rsidP="00311C6D">
      <w:r>
        <w:t xml:space="preserve">2.1 </w:t>
      </w:r>
      <w:r w:rsidR="005E47EA">
        <w:t xml:space="preserve">Nome tecniche e linee guida: fra </w:t>
      </w:r>
      <w:r w:rsidR="005E47EA" w:rsidRPr="00B9304D">
        <w:rPr>
          <w:i/>
        </w:rPr>
        <w:t xml:space="preserve">hard </w:t>
      </w:r>
      <w:proofErr w:type="spellStart"/>
      <w:r w:rsidR="005E47EA" w:rsidRPr="00B9304D">
        <w:rPr>
          <w:i/>
        </w:rPr>
        <w:t>regulation</w:t>
      </w:r>
      <w:proofErr w:type="spellEnd"/>
      <w:r w:rsidR="005E47EA">
        <w:t xml:space="preserve"> e </w:t>
      </w:r>
      <w:r w:rsidR="005E47EA" w:rsidRPr="00B9304D">
        <w:rPr>
          <w:i/>
        </w:rPr>
        <w:t xml:space="preserve">soft </w:t>
      </w:r>
      <w:proofErr w:type="spellStart"/>
      <w:r w:rsidR="005E47EA" w:rsidRPr="00B9304D">
        <w:rPr>
          <w:i/>
        </w:rPr>
        <w:t>regulation</w:t>
      </w:r>
      <w:proofErr w:type="spellEnd"/>
      <w:r w:rsidR="005E47EA">
        <w:t xml:space="preserve"> </w:t>
      </w:r>
    </w:p>
    <w:p w:rsidR="003C3097" w:rsidRPr="00311C6D" w:rsidRDefault="003C3097" w:rsidP="003C3097">
      <w:r w:rsidRPr="00311C6D">
        <w:t xml:space="preserve">2.2 I poteri </w:t>
      </w:r>
      <w:r w:rsidR="007316E8">
        <w:t xml:space="preserve">di vigilanza e supervisione </w:t>
      </w:r>
      <w:r>
        <w:t xml:space="preserve">attribuiti in via diretta ed esclusiva alle autorità </w:t>
      </w:r>
      <w:r w:rsidRPr="00311C6D">
        <w:t>e</w:t>
      </w:r>
      <w:r>
        <w:t>uropee</w:t>
      </w:r>
    </w:p>
    <w:p w:rsidR="00311C6D" w:rsidRPr="00311C6D" w:rsidRDefault="00311C6D" w:rsidP="00311C6D">
      <w:r w:rsidRPr="00311C6D">
        <w:t>2.3 La vigilanza europea sulle banche</w:t>
      </w:r>
    </w:p>
    <w:p w:rsidR="00311C6D" w:rsidRDefault="00311C6D" w:rsidP="00311C6D">
      <w:r w:rsidRPr="00311C6D">
        <w:t>2.4 I poteri di vigilanza dell’</w:t>
      </w:r>
      <w:proofErr w:type="spellStart"/>
      <w:r w:rsidRPr="00311C6D">
        <w:t>Esma</w:t>
      </w:r>
      <w:proofErr w:type="spellEnd"/>
    </w:p>
    <w:p w:rsidR="00311C6D" w:rsidRPr="00311C6D" w:rsidRDefault="00311C6D" w:rsidP="00311C6D">
      <w:r w:rsidRPr="00311C6D">
        <w:t>3. La natura dei poteri attribuiti alle autorità di controllo</w:t>
      </w:r>
    </w:p>
    <w:p w:rsidR="00311C6D" w:rsidRPr="00311C6D" w:rsidRDefault="00311C6D" w:rsidP="00311C6D">
      <w:r w:rsidRPr="00311C6D">
        <w:t>4. La tutela fra procedimento e processo. Una giurisdizione mista</w:t>
      </w:r>
    </w:p>
    <w:p w:rsidR="00311C6D" w:rsidRDefault="00311C6D" w:rsidP="00311C6D">
      <w:r w:rsidRPr="00311C6D">
        <w:t>5. Una regolazione per domani?</w:t>
      </w:r>
    </w:p>
    <w:p w:rsidR="00B25E0B" w:rsidRDefault="00B25E0B" w:rsidP="00311C6D"/>
    <w:p w:rsidR="00B25E0B" w:rsidRDefault="00B25E0B" w:rsidP="00311C6D"/>
    <w:p w:rsidR="00B25E0B" w:rsidRPr="00311C6D" w:rsidRDefault="00B25E0B" w:rsidP="00311C6D">
      <w:r>
        <w:t>*Testo della relazione svolta al Convegno per i 60 anni della Rivista delle società su “Regole del mercato e mercato delle regole: Il diritto societario e il ruolo del legislatore”, Venezia, 13-14 novembre 2015.</w:t>
      </w:r>
    </w:p>
    <w:p w:rsidR="00B25E0B" w:rsidRDefault="00782B5C" w:rsidP="00B25E0B">
      <w:pPr>
        <w:ind w:firstLine="0"/>
        <w:jc w:val="left"/>
      </w:pPr>
      <w:r>
        <w:br w:type="page"/>
      </w:r>
      <w:bookmarkStart w:id="0" w:name="_GoBack"/>
      <w:bookmarkEnd w:id="0"/>
    </w:p>
    <w:p w:rsidR="00311C6D" w:rsidRPr="00311C6D" w:rsidRDefault="00311C6D" w:rsidP="00311C6D"/>
    <w:p w:rsidR="00A87C4F" w:rsidRPr="00311C6D" w:rsidRDefault="00A87C4F"/>
    <w:p w:rsidR="00183007" w:rsidRDefault="00183007" w:rsidP="00183007">
      <w:r>
        <w:t>1. La regolazione dei mercati finanziari e la crisi globale</w:t>
      </w:r>
    </w:p>
    <w:p w:rsidR="005A65B7" w:rsidRDefault="00400000">
      <w:r>
        <w:t>Un effetto comune alle crisi economiche, specie quando le cause della crisi vengono, a torto o a ragione, primariamente individuate nel funzionamento dei mercati finanziari, è la ridefinizione dell’ampiezza e della profondità della regolazione e, conseguentemente, del ruolo dei regolatori. Questo effetto comune si declina, però, con caratteristiche diverse per ogni crisi e per ogni periodo storico</w:t>
      </w:r>
      <w:r w:rsidR="00811302">
        <w:t xml:space="preserve"> e deve essere quindi indagato distinguendo fra le misure estemporanee, destinate a scomparire una volta che la crisi si ritenga superata e le misure destinate, invece, a ridefinire l’assetto </w:t>
      </w:r>
      <w:proofErr w:type="spellStart"/>
      <w:r w:rsidR="00811302">
        <w:t>regolatorio</w:t>
      </w:r>
      <w:proofErr w:type="spellEnd"/>
      <w:r w:rsidR="00811302">
        <w:t xml:space="preserve"> e istituzionale sul medio-lungo periodo: almeno fino alla crisi successiva, ma a volte, come è accaduto per esempio per alcune istituzioni e regole nate in seguito alla crisi del</w:t>
      </w:r>
      <w:r w:rsidR="00E9782D">
        <w:t xml:space="preserve"> </w:t>
      </w:r>
      <w:r w:rsidR="00811302">
        <w:t>’29, anche più a lungo</w:t>
      </w:r>
      <w:r w:rsidR="00183007">
        <w:rPr>
          <w:rStyle w:val="Rimandonotaapidipagina"/>
        </w:rPr>
        <w:footnoteReference w:id="1"/>
      </w:r>
      <w:r w:rsidR="00811302">
        <w:t xml:space="preserve">. </w:t>
      </w:r>
    </w:p>
    <w:p w:rsidR="00183007" w:rsidRDefault="00811302">
      <w:r>
        <w:t xml:space="preserve">In questo secondo caso si crea, per così dire, una infrastruttura istituzionale e </w:t>
      </w:r>
      <w:proofErr w:type="spellStart"/>
      <w:r>
        <w:t>regolatoria</w:t>
      </w:r>
      <w:proofErr w:type="spellEnd"/>
      <w:r>
        <w:t xml:space="preserve"> nuova, che </w:t>
      </w:r>
      <w:r w:rsidR="00183007">
        <w:t xml:space="preserve">non sempre viene costruita in base ad un disegno organico e in un unico tempo, ma </w:t>
      </w:r>
      <w:r w:rsidR="003E03AC">
        <w:t xml:space="preserve">è </w:t>
      </w:r>
      <w:r w:rsidR="00183007">
        <w:t>più spesso il frutto di azioni, reazioni, correzioni e stratificazioni successive. Questo processo di cambiamento è in corso da alcuni anni nell’ordinamento europeo – e, quindi, di riflesso anche nell’ordinamento italiano – ed è probabilmente troppo presto per individuarne con certezza gli elementi di stabilità e gli elementi transeunti. Si possono indicare, però, gli sviluppi e le linee di tendenza emergenti, per cercare di comprendere almeno la direzione e il ritmo del cambiamento, se pure l’approdo finale resta ancora incerto e soggetto, a sua volta, a possibili variazioni.</w:t>
      </w:r>
    </w:p>
    <w:p w:rsidR="001C16D0" w:rsidRDefault="00811302" w:rsidP="00811302">
      <w:r>
        <w:t>P</w:t>
      </w:r>
      <w:r w:rsidR="001C16D0">
        <w:t>arte integrante della nuova disciplina dei mercati finanziari adottata nell’Unione europea con l’espresso fine di far fronte alla crisi economica e, anzi, di prevenire n</w:t>
      </w:r>
      <w:r w:rsidR="00BA7F53">
        <w:t>u</w:t>
      </w:r>
      <w:r w:rsidR="001C16D0">
        <w:t xml:space="preserve">ove crisi, è la creazione di nuovi regolatori, l’attribuzione a questi di nuovi poteri e una diversa distribuzione, rispetto al passato, dei poteri di </w:t>
      </w:r>
      <w:r w:rsidR="001C16D0">
        <w:lastRenderedPageBreak/>
        <w:t>regolazione e di controllo fra autorità di livello europeo e autorità di livello nazionale.</w:t>
      </w:r>
    </w:p>
    <w:p w:rsidR="00DC1433" w:rsidRDefault="00BA7F53" w:rsidP="00811302">
      <w:r>
        <w:t>L</w:t>
      </w:r>
      <w:r w:rsidR="00E50962">
        <w:t xml:space="preserve">’analisi </w:t>
      </w:r>
      <w:r w:rsidR="00811302">
        <w:t xml:space="preserve">svolta di seguito </w:t>
      </w:r>
      <w:r>
        <w:t xml:space="preserve">si concentra appunto su questi profili e si articola intorno a </w:t>
      </w:r>
      <w:r w:rsidR="00E50962">
        <w:t>tre questioni:</w:t>
      </w:r>
      <w:r w:rsidR="00811302">
        <w:t xml:space="preserve"> a. l</w:t>
      </w:r>
      <w:r w:rsidR="00DC1433">
        <w:t xml:space="preserve">a collocazione </w:t>
      </w:r>
      <w:r w:rsidR="00E50962">
        <w:t xml:space="preserve">delle autorità di controllo </w:t>
      </w:r>
      <w:r w:rsidR="00DC1433">
        <w:t xml:space="preserve">nel </w:t>
      </w:r>
      <w:r w:rsidR="009D3F3C">
        <w:t>sistema amministrativo</w:t>
      </w:r>
      <w:r w:rsidR="00DC1433">
        <w:t xml:space="preserve"> europeo</w:t>
      </w:r>
      <w:r w:rsidR="00811302">
        <w:t xml:space="preserve">; b. </w:t>
      </w:r>
      <w:r w:rsidR="00E50962">
        <w:t xml:space="preserve">la natura e </w:t>
      </w:r>
      <w:r w:rsidR="00DC1433">
        <w:t>il tipo di poteri</w:t>
      </w:r>
      <w:r w:rsidR="009D3F3C">
        <w:t xml:space="preserve"> attribuiti alle autorità europee</w:t>
      </w:r>
      <w:r w:rsidR="00811302">
        <w:t xml:space="preserve">, </w:t>
      </w:r>
      <w:r w:rsidR="009D3F3C">
        <w:t xml:space="preserve">analizzati </w:t>
      </w:r>
      <w:r w:rsidR="00811302">
        <w:t xml:space="preserve">per estensione ed intensità; c. </w:t>
      </w:r>
      <w:r w:rsidR="00D81A78">
        <w:t xml:space="preserve">gli strumenti di </w:t>
      </w:r>
      <w:r w:rsidR="00DC1433">
        <w:t>tutela</w:t>
      </w:r>
      <w:r w:rsidR="00D81A78">
        <w:t xml:space="preserve"> disponibili nei confronti di quei poteri</w:t>
      </w:r>
      <w:r w:rsidR="005A65B7">
        <w:t>.</w:t>
      </w:r>
    </w:p>
    <w:p w:rsidR="00D81A78" w:rsidRDefault="00D81A78" w:rsidP="00D81A78"/>
    <w:p w:rsidR="00A87C4F" w:rsidRPr="00311C6D" w:rsidRDefault="005A65B7">
      <w:r w:rsidRPr="00311C6D">
        <w:t xml:space="preserve">2. I poteri di </w:t>
      </w:r>
      <w:r w:rsidR="00932462" w:rsidRPr="00311C6D">
        <w:t xml:space="preserve">regolazione e </w:t>
      </w:r>
      <w:r w:rsidRPr="00311C6D">
        <w:t>di supervisione de</w:t>
      </w:r>
      <w:r w:rsidR="00E61DEA">
        <w:t>lle autorità di vigilanza europee</w:t>
      </w:r>
      <w:r w:rsidR="009D3F3C">
        <w:t>: un nuovo sistema amministrativo?</w:t>
      </w:r>
    </w:p>
    <w:p w:rsidR="00B82C60" w:rsidRDefault="00B82C60" w:rsidP="00B82C60">
      <w:r>
        <w:t xml:space="preserve">Alla fine del 2010 l’Unione europea si è dotata di un </w:t>
      </w:r>
      <w:r w:rsidRPr="00923165">
        <w:t>nuovo Sistema europeo di vigilanza finanziaria</w:t>
      </w:r>
      <w:r>
        <w:t xml:space="preserve"> (SEVF). Del SEVF </w:t>
      </w:r>
      <w:r w:rsidRPr="00923165">
        <w:t>fanno parte tre autorità di vigilanza europee</w:t>
      </w:r>
      <w:r>
        <w:t>, collettivamente denominate</w:t>
      </w:r>
      <w:r w:rsidRPr="00923165">
        <w:t xml:space="preserve"> </w:t>
      </w:r>
      <w:proofErr w:type="spellStart"/>
      <w:r w:rsidRPr="00923165">
        <w:t>European</w:t>
      </w:r>
      <w:proofErr w:type="spellEnd"/>
      <w:r w:rsidRPr="00923165">
        <w:t xml:space="preserve"> </w:t>
      </w:r>
      <w:proofErr w:type="spellStart"/>
      <w:r w:rsidRPr="00923165">
        <w:t>Supervisory</w:t>
      </w:r>
      <w:proofErr w:type="spellEnd"/>
      <w:r w:rsidRPr="00923165">
        <w:t xml:space="preserve"> </w:t>
      </w:r>
      <w:proofErr w:type="spellStart"/>
      <w:r w:rsidRPr="00923165">
        <w:t>Authorities</w:t>
      </w:r>
      <w:proofErr w:type="spellEnd"/>
      <w:r w:rsidRPr="00923165">
        <w:t xml:space="preserve"> (</w:t>
      </w:r>
      <w:proofErr w:type="spellStart"/>
      <w:r w:rsidRPr="00923165">
        <w:t>Esa</w:t>
      </w:r>
      <w:proofErr w:type="spellEnd"/>
      <w:r w:rsidRPr="00923165">
        <w:t>): l’</w:t>
      </w:r>
      <w:proofErr w:type="spellStart"/>
      <w:r w:rsidRPr="00923165">
        <w:t>European</w:t>
      </w:r>
      <w:proofErr w:type="spellEnd"/>
      <w:r w:rsidRPr="00923165">
        <w:t xml:space="preserve"> Banking Authority (</w:t>
      </w:r>
      <w:proofErr w:type="spellStart"/>
      <w:r w:rsidRPr="00923165">
        <w:t>Eba</w:t>
      </w:r>
      <w:proofErr w:type="spellEnd"/>
      <w:r w:rsidRPr="00923165">
        <w:t>), per il settore bancario, l’</w:t>
      </w:r>
      <w:proofErr w:type="spellStart"/>
      <w:r w:rsidRPr="00923165">
        <w:t>European</w:t>
      </w:r>
      <w:proofErr w:type="spellEnd"/>
      <w:r w:rsidRPr="00923165">
        <w:t xml:space="preserve"> Securities and </w:t>
      </w:r>
      <w:proofErr w:type="spellStart"/>
      <w:r w:rsidRPr="00923165">
        <w:t>Markets</w:t>
      </w:r>
      <w:proofErr w:type="spellEnd"/>
      <w:r w:rsidRPr="00923165">
        <w:t xml:space="preserve"> Authority (</w:t>
      </w:r>
      <w:proofErr w:type="spellStart"/>
      <w:r w:rsidRPr="00923165">
        <w:t>Esma</w:t>
      </w:r>
      <w:proofErr w:type="spellEnd"/>
      <w:r w:rsidRPr="00923165">
        <w:t>), per i mercati finanziari e l’</w:t>
      </w:r>
      <w:proofErr w:type="spellStart"/>
      <w:r w:rsidRPr="00923165">
        <w:t>European</w:t>
      </w:r>
      <w:proofErr w:type="spellEnd"/>
      <w:r w:rsidRPr="00923165">
        <w:t xml:space="preserve"> </w:t>
      </w:r>
      <w:proofErr w:type="spellStart"/>
      <w:r w:rsidRPr="00923165">
        <w:t>Insurance</w:t>
      </w:r>
      <w:proofErr w:type="spellEnd"/>
      <w:r w:rsidRPr="00923165">
        <w:t xml:space="preserve"> and </w:t>
      </w:r>
      <w:proofErr w:type="spellStart"/>
      <w:r w:rsidRPr="00923165">
        <w:t>Occupational</w:t>
      </w:r>
      <w:proofErr w:type="spellEnd"/>
      <w:r w:rsidRPr="00923165">
        <w:t xml:space="preserve"> </w:t>
      </w:r>
      <w:proofErr w:type="spellStart"/>
      <w:r w:rsidRPr="00923165">
        <w:t>Pension</w:t>
      </w:r>
      <w:proofErr w:type="spellEnd"/>
      <w:r w:rsidRPr="00923165">
        <w:t xml:space="preserve"> Authority (</w:t>
      </w:r>
      <w:proofErr w:type="spellStart"/>
      <w:r w:rsidRPr="00923165">
        <w:t>Eiopa</w:t>
      </w:r>
      <w:proofErr w:type="spellEnd"/>
      <w:r w:rsidRPr="00923165">
        <w:t>), per il settore delle assicurazioni e dei fondi pensione)</w:t>
      </w:r>
      <w:r>
        <w:t>. Del sistema fanno parte anche</w:t>
      </w:r>
      <w:r w:rsidRPr="00923165">
        <w:t xml:space="preserve"> il Consiglio europeo per il rischio sistemico (</w:t>
      </w:r>
      <w:proofErr w:type="spellStart"/>
      <w:r w:rsidRPr="00923165">
        <w:t>Esrc</w:t>
      </w:r>
      <w:proofErr w:type="spellEnd"/>
      <w:r w:rsidRPr="00923165">
        <w:t>) e i rappresentanti delle autorità di vigilanza finanziaria nazionali</w:t>
      </w:r>
      <w:r>
        <w:rPr>
          <w:rStyle w:val="Rimandonotaapidipagina"/>
        </w:rPr>
        <w:footnoteReference w:id="2"/>
      </w:r>
      <w:r w:rsidR="00487E1B">
        <w:t>.</w:t>
      </w:r>
    </w:p>
    <w:p w:rsidR="00B82C60" w:rsidRDefault="00487E1B" w:rsidP="00B82C60">
      <w:r>
        <w:lastRenderedPageBreak/>
        <w:t xml:space="preserve">Sono stati così costituiti tre nuovi regolatori di settore, presso i quali sono concentrate funzioni di regolazione e funzioni di supervisione, anche se </w:t>
      </w:r>
      <w:r w:rsidR="00DC287A">
        <w:t>c</w:t>
      </w:r>
      <w:r>
        <w:t xml:space="preserve">on latitudine diversa nei tre settori e con una significativa differenza nel settore delle banche, per il quale le funzioni sono suddivise – </w:t>
      </w:r>
      <w:r w:rsidR="00DC287A">
        <w:t>con</w:t>
      </w:r>
      <w:r>
        <w:t xml:space="preserve"> line</w:t>
      </w:r>
      <w:r w:rsidR="00DC287A">
        <w:t>e</w:t>
      </w:r>
      <w:r>
        <w:t xml:space="preserve"> di demarcazione</w:t>
      </w:r>
      <w:r w:rsidR="00DC287A">
        <w:t xml:space="preserve"> per la verità non sempre chiare</w:t>
      </w:r>
      <w:r>
        <w:t xml:space="preserve"> – fra EBA e BCE</w:t>
      </w:r>
      <w:r w:rsidR="00B70721">
        <w:rPr>
          <w:rStyle w:val="Rimandonotaapidipagina"/>
        </w:rPr>
        <w:footnoteReference w:id="3"/>
      </w:r>
      <w:r w:rsidR="00B70721">
        <w:t>, specie a seguito dell’entrata in vigore dei diversi “meccanismi“ (di vigilanza, di risoluzione e, per il futuro, di tutela dei depositi) costitutivi dell’Unione bancaria</w:t>
      </w:r>
      <w:r>
        <w:t>.</w:t>
      </w:r>
    </w:p>
    <w:p w:rsidR="00A87C4F" w:rsidRDefault="00C60E73" w:rsidP="00C60E73">
      <w:r>
        <w:t>L’ipotesi posta a base dell’analisi svolta di seguito è che</w:t>
      </w:r>
      <w:r w:rsidR="00D81A78">
        <w:t xml:space="preserve"> </w:t>
      </w:r>
      <w:r w:rsidR="00D440D7">
        <w:t xml:space="preserve">le </w:t>
      </w:r>
      <w:r w:rsidR="00D81A78">
        <w:t>nuov</w:t>
      </w:r>
      <w:r w:rsidR="00D440D7">
        <w:t>e autorità</w:t>
      </w:r>
      <w:r w:rsidR="00D81A78">
        <w:t xml:space="preserve"> europe</w:t>
      </w:r>
      <w:r w:rsidR="00D440D7">
        <w:t>e</w:t>
      </w:r>
      <w:r w:rsidR="00D81A78">
        <w:t xml:space="preserve"> s</w:t>
      </w:r>
      <w:r w:rsidR="00DC287A">
        <w:t>ia</w:t>
      </w:r>
      <w:r>
        <w:t xml:space="preserve">no parte integrante </w:t>
      </w:r>
      <w:r w:rsidR="00D81A78">
        <w:t>e</w:t>
      </w:r>
      <w:r>
        <w:t>, anzi,</w:t>
      </w:r>
      <w:r w:rsidR="00D81A78">
        <w:t xml:space="preserve"> s</w:t>
      </w:r>
      <w:r w:rsidR="00DC287A">
        <w:t>ia</w:t>
      </w:r>
      <w:r w:rsidR="00D81A78">
        <w:t xml:space="preserve">no </w:t>
      </w:r>
      <w:r>
        <w:t>uno strumento fondamentale,</w:t>
      </w:r>
      <w:r w:rsidR="00D81A78">
        <w:t xml:space="preserve"> di un </w:t>
      </w:r>
      <w:r>
        <w:t xml:space="preserve">processo di trasformazione del sistema europeo di regolazione e supervisione sui mercati e gli intermediari finanziari. Il sistema precedente, caratterizzato dall’integrazione per via di composizione (di regole e </w:t>
      </w:r>
      <w:r w:rsidR="003326E2">
        <w:t xml:space="preserve">di </w:t>
      </w:r>
      <w:r>
        <w:t>apparati europei e nazionali) si va trasformando in si</w:t>
      </w:r>
      <w:r w:rsidR="00D81A78">
        <w:t xml:space="preserve">stema integrato per </w:t>
      </w:r>
      <w:r>
        <w:t xml:space="preserve">via di </w:t>
      </w:r>
      <w:r w:rsidR="00D81A78">
        <w:t>accentramento</w:t>
      </w:r>
      <w:r>
        <w:t xml:space="preserve"> di poteri e compiti in capo a</w:t>
      </w:r>
      <w:r w:rsidR="00E61DEA">
        <w:t>lle autorità</w:t>
      </w:r>
      <w:r>
        <w:t xml:space="preserve"> europe</w:t>
      </w:r>
      <w:r w:rsidR="00E61DEA">
        <w:t>e</w:t>
      </w:r>
      <w:r>
        <w:t>.</w:t>
      </w:r>
      <w:r w:rsidR="00F40BC1">
        <w:t xml:space="preserve"> </w:t>
      </w:r>
    </w:p>
    <w:p w:rsidR="007A298C" w:rsidRDefault="00F40BC1" w:rsidP="00C60E73">
      <w:r>
        <w:t xml:space="preserve">Questa tendenza emerge immediatamente </w:t>
      </w:r>
      <w:r w:rsidR="007A298C">
        <w:t xml:space="preserve">sia </w:t>
      </w:r>
      <w:r>
        <w:t>dalle ragioni indicate nei regolamenti europei a sostegno delle nuove scelte</w:t>
      </w:r>
      <w:r w:rsidR="007A298C">
        <w:t>, sia dalle caratteristiche comuni a</w:t>
      </w:r>
      <w:r w:rsidR="00E61DEA">
        <w:t>lle autorità di vigilanza.</w:t>
      </w:r>
    </w:p>
    <w:p w:rsidR="00F40BC1" w:rsidRDefault="00E61DEA" w:rsidP="00C60E73">
      <w:r>
        <w:t xml:space="preserve">In tutti i regolamenti europei in materia si individua, quale comune presupposto e fondamento della nuova disciplina, </w:t>
      </w:r>
      <w:r w:rsidR="00F40BC1">
        <w:t>la gravità della crisi economica e finanziaria e le difficoltà incontrate nel fronteggiarla, anche a causa dell’incapacità di mettere in campo risposte comuni, unifo</w:t>
      </w:r>
      <w:r>
        <w:t>rmi, coerenti. La frammentazione del sistema di vigilanza e di controllo fra più autorità nazionali, la diversa applicazione che esse hanno dato delle regole europee, l’insufficienza di queste regole a fronte dei rischi di instabilità sistemica hanno mostrato l’inadeguatezza dell’assetto preesistente e la necessità di and</w:t>
      </w:r>
      <w:r w:rsidR="00042295">
        <w:t xml:space="preserve">are verso un sistema </w:t>
      </w:r>
      <w:r w:rsidR="00042295">
        <w:lastRenderedPageBreak/>
        <w:t>che consenta di prevenire, fronteggiare e risolvere i rischi con regole unitarie, strumenti uniformi e comportamenti comuni</w:t>
      </w:r>
      <w:r w:rsidR="00D440D7">
        <w:rPr>
          <w:rStyle w:val="Rimandonotaapidipagina"/>
        </w:rPr>
        <w:footnoteReference w:id="4"/>
      </w:r>
      <w:r w:rsidR="00042295">
        <w:t>.</w:t>
      </w:r>
    </w:p>
    <w:p w:rsidR="00932462" w:rsidRDefault="00042295" w:rsidP="007A298C">
      <w:r>
        <w:t>Le nuove autorità di vigilanza</w:t>
      </w:r>
      <w:r w:rsidR="007A298C">
        <w:t xml:space="preserve"> presentano, inoltre, alcuni caratteri comuni. Se ne afferma, in primo luogo, l’indipendenza anche nei confronti della Commissione, </w:t>
      </w:r>
      <w:r w:rsidR="00DC287A">
        <w:t>che mancava, invece, nel</w:t>
      </w:r>
      <w:r w:rsidR="007A298C">
        <w:t xml:space="preserve">l’assetto precedente basato sui comitati </w:t>
      </w:r>
      <w:proofErr w:type="spellStart"/>
      <w:r w:rsidR="007A298C">
        <w:t>Larosiere</w:t>
      </w:r>
      <w:proofErr w:type="spellEnd"/>
      <w:r w:rsidR="007A298C">
        <w:rPr>
          <w:rStyle w:val="Rimandonotaapidipagina"/>
        </w:rPr>
        <w:footnoteReference w:id="5"/>
      </w:r>
      <w:r w:rsidR="007A298C">
        <w:t xml:space="preserve">. Si enfatizza, in secondo luogo, il fondamento della loro legittimazione sulla base della capacità e della </w:t>
      </w:r>
      <w:r w:rsidR="007A298C" w:rsidRPr="00DC287A">
        <w:rPr>
          <w:i/>
        </w:rPr>
        <w:t>expertise</w:t>
      </w:r>
      <w:r w:rsidR="007A298C">
        <w:t xml:space="preserve"> tecnica, che ha trovato peraltro successiva conferma nell’interpretazione da parte della Corte di Giustizia delle norme attributive di poteri all’</w:t>
      </w:r>
      <w:proofErr w:type="spellStart"/>
      <w:r w:rsidR="007A298C">
        <w:t>Esma</w:t>
      </w:r>
      <w:proofErr w:type="spellEnd"/>
      <w:r w:rsidR="007A298C">
        <w:t xml:space="preserve"> relativamente al potere di vietare operazioni di </w:t>
      </w:r>
      <w:r w:rsidR="007A298C" w:rsidRPr="00DC287A">
        <w:rPr>
          <w:i/>
        </w:rPr>
        <w:t xml:space="preserve">short </w:t>
      </w:r>
      <w:proofErr w:type="spellStart"/>
      <w:r w:rsidR="007A298C" w:rsidRPr="00DC287A">
        <w:rPr>
          <w:i/>
        </w:rPr>
        <w:t>selling</w:t>
      </w:r>
      <w:proofErr w:type="spellEnd"/>
      <w:r w:rsidR="007A298C">
        <w:t xml:space="preserve"> e alla BCE in materia di </w:t>
      </w:r>
      <w:proofErr w:type="spellStart"/>
      <w:r w:rsidR="007A298C" w:rsidRPr="00DC287A">
        <w:rPr>
          <w:i/>
        </w:rPr>
        <w:t>Outright</w:t>
      </w:r>
      <w:proofErr w:type="spellEnd"/>
      <w:r w:rsidR="007A298C" w:rsidRPr="00DC287A">
        <w:rPr>
          <w:i/>
        </w:rPr>
        <w:t xml:space="preserve"> </w:t>
      </w:r>
      <w:proofErr w:type="spellStart"/>
      <w:r w:rsidR="007A298C" w:rsidRPr="00DC287A">
        <w:rPr>
          <w:i/>
        </w:rPr>
        <w:t>monetary</w:t>
      </w:r>
      <w:proofErr w:type="spellEnd"/>
      <w:r w:rsidR="007A298C" w:rsidRPr="00DC287A">
        <w:rPr>
          <w:i/>
        </w:rPr>
        <w:t xml:space="preserve"> </w:t>
      </w:r>
      <w:proofErr w:type="spellStart"/>
      <w:r w:rsidR="007A298C" w:rsidRPr="00DC287A">
        <w:rPr>
          <w:i/>
        </w:rPr>
        <w:t>transactions</w:t>
      </w:r>
      <w:proofErr w:type="spellEnd"/>
      <w:r w:rsidR="007A298C">
        <w:rPr>
          <w:rStyle w:val="Rimandonotaapidipagina"/>
        </w:rPr>
        <w:footnoteReference w:id="6"/>
      </w:r>
      <w:r>
        <w:t>. Tutte le autorità europee</w:t>
      </w:r>
      <w:r w:rsidR="002F56FE">
        <w:t xml:space="preserve"> dispongono, inoltre, per la prima volta, di poteri propri ed esclusivi, ulteriori rispetto ai poteri di</w:t>
      </w:r>
      <w:r w:rsidR="00545A2A">
        <w:t xml:space="preserve"> coordinamento dell’attività delle autorità</w:t>
      </w:r>
      <w:r w:rsidR="002F56FE">
        <w:t xml:space="preserve"> nazionali e, anzi, assistiti, come si vedrà meglio in seguito, da poteri strumentali che possono essere indirizzati direttamente ad un</w:t>
      </w:r>
      <w:r w:rsidR="00545A2A">
        <w:t xml:space="preserve">’autorità </w:t>
      </w:r>
      <w:r w:rsidR="002F56FE">
        <w:t>nazionale o</w:t>
      </w:r>
      <w:r>
        <w:t>, in caso di inerzia di quest’ultim</w:t>
      </w:r>
      <w:r w:rsidR="00545A2A">
        <w:t>a</w:t>
      </w:r>
      <w:r>
        <w:t>,</w:t>
      </w:r>
      <w:r w:rsidR="002F56FE">
        <w:t xml:space="preserve"> ad un operatore su un mercato nazionale. </w:t>
      </w:r>
      <w:r>
        <w:t xml:space="preserve">Si modifica, quindi, come si vedrà meglio in dettaglio in seguito, anche il rapporto fra autorità europee e autorità nazionali, con l’affiorare di situazioni e posizioni di </w:t>
      </w:r>
      <w:r w:rsidR="002F56FE">
        <w:t xml:space="preserve">supremazia </w:t>
      </w:r>
      <w:r>
        <w:t xml:space="preserve">delle prime </w:t>
      </w:r>
      <w:r w:rsidR="002F56FE">
        <w:t>rispetto a</w:t>
      </w:r>
      <w:r>
        <w:t>lle seconde, se pur con gradi di intensità diversi a seconda dei settori o di specifici poteri di intervento</w:t>
      </w:r>
      <w:r w:rsidR="002F56FE">
        <w:t>.</w:t>
      </w:r>
    </w:p>
    <w:p w:rsidR="00DC287A" w:rsidRDefault="00DC287A" w:rsidP="007A298C">
      <w:r>
        <w:t>La collocazione de</w:t>
      </w:r>
      <w:r w:rsidR="00042295">
        <w:t xml:space="preserve">lle nuove autorità di regolazione e di vigilanza </w:t>
      </w:r>
      <w:r>
        <w:t>nell’ordinamento presenta, quindi, caratteri nuovi rispetto al passato</w:t>
      </w:r>
      <w:r w:rsidR="00042295">
        <w:t xml:space="preserve">, tanto che secondo alcuni il sistema di </w:t>
      </w:r>
      <w:proofErr w:type="spellStart"/>
      <w:r w:rsidR="00042295" w:rsidRPr="00042295">
        <w:rPr>
          <w:i/>
        </w:rPr>
        <w:t>governance</w:t>
      </w:r>
      <w:proofErr w:type="spellEnd"/>
      <w:r w:rsidR="00042295">
        <w:t xml:space="preserve"> dei mercati finanziari potrebbe porsi come possibile modello per l’evoluzione della </w:t>
      </w:r>
      <w:proofErr w:type="spellStart"/>
      <w:r w:rsidR="00042295" w:rsidRPr="00042295">
        <w:rPr>
          <w:i/>
        </w:rPr>
        <w:t>governance</w:t>
      </w:r>
      <w:proofErr w:type="spellEnd"/>
      <w:r w:rsidR="00042295">
        <w:t xml:space="preserve"> europea anche in altri </w:t>
      </w:r>
      <w:r w:rsidR="00042295">
        <w:lastRenderedPageBreak/>
        <w:t>settori, a fronte dei sempre più rilevanti problemi comuni che richiedono ri</w:t>
      </w:r>
      <w:r w:rsidR="00545A2A">
        <w:t>s</w:t>
      </w:r>
      <w:r w:rsidR="00042295">
        <w:t>poste e misure unitarie al di là delle capacità dei singoli Stati membri</w:t>
      </w:r>
      <w:r w:rsidR="00545A2A">
        <w:rPr>
          <w:rStyle w:val="Rimandonotaapidipagina"/>
        </w:rPr>
        <w:footnoteReference w:id="7"/>
      </w:r>
      <w:r w:rsidR="00042295">
        <w:t>.</w:t>
      </w:r>
    </w:p>
    <w:p w:rsidR="00DC287A" w:rsidRDefault="00042295" w:rsidP="007A298C">
      <w:r>
        <w:t>La nuova posizione di indipendenza porta con sé, naturalmente, il problema connesso di assicurare l’</w:t>
      </w:r>
      <w:proofErr w:type="spellStart"/>
      <w:r w:rsidRPr="008F507A">
        <w:rPr>
          <w:i/>
        </w:rPr>
        <w:t>accountability</w:t>
      </w:r>
      <w:proofErr w:type="spellEnd"/>
      <w:r>
        <w:t xml:space="preserve"> delle autorità e di determinare regole di esercizio della loro nuo</w:t>
      </w:r>
      <w:r w:rsidR="00C800BB">
        <w:t>va e più ampia discrezionalità. Quanto al primo profilo occorrerà ve</w:t>
      </w:r>
      <w:r w:rsidR="008F507A">
        <w:t>rificare in futuro</w:t>
      </w:r>
      <w:r w:rsidR="00C800BB">
        <w:t xml:space="preserve"> se saranno sufficienti le garanzie previste nei regolamenti, basate</w:t>
      </w:r>
      <w:r w:rsidR="00E9782D">
        <w:t>, oltre che sulla tutela giurisdizionale,</w:t>
      </w:r>
      <w:r w:rsidR="00C800BB">
        <w:t xml:space="preserve"> soprattutto sulla previsione di periodici rapporti e relazioni delle autorità alle istituzioni europee</w:t>
      </w:r>
      <w:r w:rsidR="006F0BCC">
        <w:t>, sull’obbligo di rispondere alle richieste di informazioni del Parlamento e di collaborare con eventuali attività di inchiesta, e in particolare al Parlamento, sull’accesso del pubblico alle informazioni</w:t>
      </w:r>
      <w:r w:rsidR="008F507A">
        <w:rPr>
          <w:rStyle w:val="Rimandonotaapidipagina"/>
        </w:rPr>
        <w:footnoteReference w:id="8"/>
      </w:r>
      <w:r w:rsidR="00C800BB">
        <w:t>.</w:t>
      </w:r>
      <w:r w:rsidR="006F0BCC">
        <w:t xml:space="preserve"> </w:t>
      </w:r>
      <w:r w:rsidR="00C800BB">
        <w:t xml:space="preserve">Quanto al secondo profilo, rilevano per un verso l’istituzionalizzazione della consultazione degli </w:t>
      </w:r>
      <w:proofErr w:type="spellStart"/>
      <w:r w:rsidR="00C800BB" w:rsidRPr="00C92DD3">
        <w:rPr>
          <w:i/>
        </w:rPr>
        <w:t>stakeholders</w:t>
      </w:r>
      <w:proofErr w:type="spellEnd"/>
      <w:r w:rsidR="00C92DD3">
        <w:rPr>
          <w:rStyle w:val="Rimandonotaapidipagina"/>
          <w:i/>
        </w:rPr>
        <w:footnoteReference w:id="9"/>
      </w:r>
      <w:r w:rsidR="00C800BB">
        <w:t xml:space="preserve">, con l’istituzione, presso ciascuna autorità di un </w:t>
      </w:r>
      <w:r w:rsidR="003E03AC">
        <w:t>“</w:t>
      </w:r>
      <w:r w:rsidR="00C800BB">
        <w:t>gruppo permanente d</w:t>
      </w:r>
      <w:r w:rsidR="00C92DD3">
        <w:t>elle parti interessate</w:t>
      </w:r>
      <w:r w:rsidR="003E03AC">
        <w:t>”</w:t>
      </w:r>
      <w:r w:rsidR="00C800BB">
        <w:t xml:space="preserve"> e, per altro verso, il ricorso ai tradizionali principi utilizzati, anche gli ordinamenti nazionali, per conformare la legalità sostanziale dell’azione amministrativa. Non è un caso che sempre maggiore attenzione sia dedicata da alcune autorità, come ad esempio l’</w:t>
      </w:r>
      <w:proofErr w:type="spellStart"/>
      <w:r w:rsidR="00C800BB">
        <w:t>Eba</w:t>
      </w:r>
      <w:proofErr w:type="spellEnd"/>
      <w:r w:rsidR="00C800BB">
        <w:t>, all’applicazione del principio di proporzionalità nell’esercizio dei propri poteri</w:t>
      </w:r>
      <w:r w:rsidR="003C3097" w:rsidRPr="00C800BB">
        <w:rPr>
          <w:rStyle w:val="Rimandonotaapidipagina"/>
        </w:rPr>
        <w:footnoteReference w:id="10"/>
      </w:r>
      <w:r w:rsidR="00C800BB">
        <w:t>.</w:t>
      </w:r>
    </w:p>
    <w:p w:rsidR="00D81A78" w:rsidRDefault="00C800BB" w:rsidP="000B5209">
      <w:r>
        <w:t xml:space="preserve">E’ a questi poteri che occorre dunque volgere ora l’attenzione, </w:t>
      </w:r>
      <w:r w:rsidR="00D81A78">
        <w:t>distinguendo</w:t>
      </w:r>
      <w:r>
        <w:t>,</w:t>
      </w:r>
      <w:r w:rsidR="00D81A78">
        <w:t xml:space="preserve"> per comodità </w:t>
      </w:r>
      <w:r w:rsidR="000B5209">
        <w:t>di esposizione</w:t>
      </w:r>
      <w:r w:rsidR="003E03AC">
        <w:t>,</w:t>
      </w:r>
      <w:r w:rsidR="000B5209">
        <w:t xml:space="preserve"> </w:t>
      </w:r>
      <w:r w:rsidR="00D81A78">
        <w:t xml:space="preserve">fra </w:t>
      </w:r>
      <w:r w:rsidR="000B5209">
        <w:t xml:space="preserve">poteri di </w:t>
      </w:r>
      <w:r w:rsidR="00D81A78">
        <w:t xml:space="preserve">regolazione e </w:t>
      </w:r>
      <w:r w:rsidR="000B5209">
        <w:t xml:space="preserve">poteri di vigilanza e </w:t>
      </w:r>
      <w:r w:rsidR="00D81A78">
        <w:t>supervisione</w:t>
      </w:r>
      <w:r>
        <w:t xml:space="preserve"> nei due settori del credito e dei mercati mobiliari</w:t>
      </w:r>
      <w:r w:rsidR="000B5209">
        <w:t>.</w:t>
      </w:r>
    </w:p>
    <w:p w:rsidR="00DC287A" w:rsidRDefault="00DC287A" w:rsidP="000B5209"/>
    <w:p w:rsidR="00C92DD3" w:rsidRPr="00183007" w:rsidRDefault="00C92DD3" w:rsidP="00C92DD3">
      <w:r>
        <w:lastRenderedPageBreak/>
        <w:t xml:space="preserve">2.1 Nome tecniche e linee guida: fra hard </w:t>
      </w:r>
      <w:proofErr w:type="spellStart"/>
      <w:r>
        <w:t>regulation</w:t>
      </w:r>
      <w:proofErr w:type="spellEnd"/>
      <w:r>
        <w:t xml:space="preserve"> e soft </w:t>
      </w:r>
      <w:proofErr w:type="spellStart"/>
      <w:r>
        <w:t>regulation</w:t>
      </w:r>
      <w:proofErr w:type="spellEnd"/>
      <w:r>
        <w:t xml:space="preserve"> </w:t>
      </w:r>
    </w:p>
    <w:p w:rsidR="000B5209" w:rsidRDefault="005B1FA5" w:rsidP="000B5209">
      <w:r>
        <w:t>Le nuove autorità</w:t>
      </w:r>
      <w:r w:rsidR="000B5209" w:rsidRPr="000B5209">
        <w:t xml:space="preserve"> dispongono di poteri di regolazione che, a seconda del modo di esercizio,</w:t>
      </w:r>
      <w:r w:rsidR="000B5209">
        <w:t xml:space="preserve"> </w:t>
      </w:r>
      <w:r w:rsidR="000B5209" w:rsidRPr="000B5209">
        <w:t>possono essere cl</w:t>
      </w:r>
      <w:r w:rsidR="000B5209">
        <w:t>a</w:t>
      </w:r>
      <w:r w:rsidR="000B5209" w:rsidRPr="000B5209">
        <w:t>ssificati com</w:t>
      </w:r>
      <w:r w:rsidR="000B5209">
        <w:t xml:space="preserve">e </w:t>
      </w:r>
      <w:r w:rsidR="000B5209" w:rsidRPr="000B5209">
        <w:t>po</w:t>
      </w:r>
      <w:r w:rsidR="000B5209">
        <w:t>t</w:t>
      </w:r>
      <w:r w:rsidR="000B5209" w:rsidRPr="000B5209">
        <w:t>er</w:t>
      </w:r>
      <w:r w:rsidR="000B5209">
        <w:t>i</w:t>
      </w:r>
      <w:r w:rsidR="000B5209" w:rsidRPr="000B5209">
        <w:t xml:space="preserve"> di regolazione vincolante e poteri di regolazione flessibile.</w:t>
      </w:r>
    </w:p>
    <w:p w:rsidR="00063E81" w:rsidRDefault="000B5209" w:rsidP="00E574BE">
      <w:r>
        <w:t>Nella prima categoria rientra il potere di determinare le n</w:t>
      </w:r>
      <w:r w:rsidR="00932462">
        <w:t>orme tecniche di regolamentazione</w:t>
      </w:r>
      <w:r>
        <w:t xml:space="preserve"> e le </w:t>
      </w:r>
      <w:r w:rsidR="00932462">
        <w:t>norme tecniche di attuazione</w:t>
      </w:r>
      <w:r w:rsidR="004D6DA0">
        <w:t xml:space="preserve">, ambedue dotate di efficacia vincolante. Le aree di esercizio di questo potere sono preventivamente individuate dalle norme primarie e gli standard tecnici vincolanti sono, in effetti, elaborati dal regolatore e adottati con </w:t>
      </w:r>
      <w:r w:rsidR="00E574BE">
        <w:t>successivo atto della Commissione</w:t>
      </w:r>
      <w:r w:rsidR="00050848">
        <w:rPr>
          <w:rStyle w:val="Rimandonotaapidipagina"/>
        </w:rPr>
        <w:footnoteReference w:id="11"/>
      </w:r>
      <w:r w:rsidR="004D6DA0">
        <w:t xml:space="preserve">. L’efficacia vincolante deriva formalmente, quindi, sul piano delle fonti, dall’esercizio di un potere delegato alla Commissione, ma il regolamento prevede che </w:t>
      </w:r>
      <w:r w:rsidR="00D81A78">
        <w:t>la Commissione p</w:t>
      </w:r>
      <w:r w:rsidR="004D6DA0">
        <w:t>ossa</w:t>
      </w:r>
      <w:r w:rsidR="00D81A78">
        <w:t xml:space="preserve"> discostarsi </w:t>
      </w:r>
      <w:r w:rsidR="004D6DA0">
        <w:t>dalla proposta del regolatore solo previa specifica motivazione</w:t>
      </w:r>
      <w:r w:rsidR="00063E81">
        <w:t xml:space="preserve"> e, soprattutto, </w:t>
      </w:r>
      <w:r w:rsidR="00C92DD3">
        <w:t xml:space="preserve">che </w:t>
      </w:r>
      <w:r w:rsidR="00063E81">
        <w:t>il regolatore a</w:t>
      </w:r>
      <w:r w:rsidR="00C92DD3">
        <w:t>bbia</w:t>
      </w:r>
      <w:r w:rsidR="00063E81">
        <w:t xml:space="preserve"> il potere di iniziativa</w:t>
      </w:r>
      <w:r w:rsidR="004D6DA0">
        <w:t xml:space="preserve">. </w:t>
      </w:r>
    </w:p>
    <w:p w:rsidR="00FB526F" w:rsidRDefault="004D6DA0" w:rsidP="00E574BE">
      <w:r>
        <w:t xml:space="preserve">Pur trattandosi dell’esercizio di un potere delegato, il procedimento di formazione è quello tipico degli atti di regolazione, con la previsione obbligatoria della consultazione e dell’analisi d’impatto. Si può dire, dunque, che il vincolo deriva formalmente dalla natura dell’atto della Commissione, </w:t>
      </w:r>
      <w:r w:rsidR="00FB526F">
        <w:t>ma sostanz</w:t>
      </w:r>
      <w:r w:rsidR="00D81E4F">
        <w:t>ialmente, sul piano della legitti</w:t>
      </w:r>
      <w:r w:rsidR="00FB526F">
        <w:t>mazione</w:t>
      </w:r>
      <w:r w:rsidR="00537F1C">
        <w:t xml:space="preserve"> e dei contenuti</w:t>
      </w:r>
      <w:r w:rsidR="00FB526F">
        <w:t>, dalla competenza tecnica e</w:t>
      </w:r>
      <w:r w:rsidR="00C92DD3">
        <w:t>, come si legge nei regolamenti,</w:t>
      </w:r>
      <w:r w:rsidR="00FB526F">
        <w:t xml:space="preserve"> dall</w:t>
      </w:r>
      <w:r>
        <w:t xml:space="preserve">a </w:t>
      </w:r>
      <w:r w:rsidR="00C92DD3">
        <w:t>“</w:t>
      </w:r>
      <w:r>
        <w:t>vicinanza</w:t>
      </w:r>
      <w:r w:rsidR="00C92DD3">
        <w:t>”</w:t>
      </w:r>
      <w:r>
        <w:t xml:space="preserve"> al mercato del regolatore. </w:t>
      </w:r>
    </w:p>
    <w:p w:rsidR="004D6DA0" w:rsidRDefault="00FC5E41" w:rsidP="00E574BE">
      <w:r>
        <w:t xml:space="preserve">La stessa natura delle norme tecniche porta a questo risultato, in quanto esse non devono </w:t>
      </w:r>
      <w:r w:rsidR="004D6DA0">
        <w:t xml:space="preserve">implicare decisioni strategiche o di </w:t>
      </w:r>
      <w:r w:rsidR="004D6DA0" w:rsidRPr="005B1FA5">
        <w:rPr>
          <w:i/>
        </w:rPr>
        <w:t>policy</w:t>
      </w:r>
      <w:r w:rsidR="00050848">
        <w:rPr>
          <w:rStyle w:val="Rimandonotaapidipagina"/>
        </w:rPr>
        <w:footnoteReference w:id="12"/>
      </w:r>
      <w:r>
        <w:t xml:space="preserve">. La Commissione </w:t>
      </w:r>
      <w:r w:rsidR="004D6DA0">
        <w:t>può rifiutare</w:t>
      </w:r>
      <w:r>
        <w:t xml:space="preserve"> di adottarle</w:t>
      </w:r>
      <w:r w:rsidR="004D6DA0">
        <w:t>, ma solo a determinate condizioni</w:t>
      </w:r>
      <w:r>
        <w:t xml:space="preserve"> e con</w:t>
      </w:r>
      <w:r w:rsidR="004D6DA0">
        <w:t xml:space="preserve"> onere della prova </w:t>
      </w:r>
      <w:r>
        <w:t xml:space="preserve">a suo carico, mentre, trattandosi di un potere delegato alla Commissione, il </w:t>
      </w:r>
      <w:r w:rsidR="004D6DA0">
        <w:t xml:space="preserve">Consiglio e </w:t>
      </w:r>
      <w:r w:rsidR="005B1FA5">
        <w:t xml:space="preserve">il </w:t>
      </w:r>
      <w:r w:rsidR="003E03AC">
        <w:t>P</w:t>
      </w:r>
      <w:r w:rsidR="004D6DA0">
        <w:t xml:space="preserve">arlamento </w:t>
      </w:r>
      <w:r>
        <w:t xml:space="preserve">possono esercitare un </w:t>
      </w:r>
      <w:r w:rsidR="004D6DA0">
        <w:t xml:space="preserve">potere di veto </w:t>
      </w:r>
      <w:r>
        <w:t>finale.</w:t>
      </w:r>
    </w:p>
    <w:p w:rsidR="00FB526F" w:rsidRDefault="004D6DA0" w:rsidP="00FB526F">
      <w:r>
        <w:t xml:space="preserve">La natura vincolante delle </w:t>
      </w:r>
      <w:r w:rsidR="00FB526F">
        <w:t>norme tecniche</w:t>
      </w:r>
      <w:r>
        <w:t xml:space="preserve"> comporta che</w:t>
      </w:r>
      <w:r w:rsidR="00FB526F">
        <w:t xml:space="preserve">, </w:t>
      </w:r>
      <w:r w:rsidR="00FB526F" w:rsidRPr="00AC6F6A">
        <w:t>una volta adottat</w:t>
      </w:r>
      <w:r w:rsidR="00FB526F">
        <w:t>e</w:t>
      </w:r>
      <w:r w:rsidR="00FB526F" w:rsidRPr="00AC6F6A">
        <w:t xml:space="preserve">, </w:t>
      </w:r>
      <w:r>
        <w:t xml:space="preserve">esse </w:t>
      </w:r>
      <w:r w:rsidR="00FB526F" w:rsidRPr="00AC6F6A">
        <w:t>s</w:t>
      </w:r>
      <w:r>
        <w:t>ia</w:t>
      </w:r>
      <w:r w:rsidR="00FB526F" w:rsidRPr="00AC6F6A">
        <w:t>no direttamen</w:t>
      </w:r>
      <w:r w:rsidR="00FB526F">
        <w:t>t</w:t>
      </w:r>
      <w:r w:rsidR="00FB526F" w:rsidRPr="00AC6F6A">
        <w:t>e applicabili negli Stati membri</w:t>
      </w:r>
      <w:r>
        <w:t xml:space="preserve">. </w:t>
      </w:r>
      <w:r w:rsidR="003E03AC">
        <w:t>E’ chiara quindi la volontà</w:t>
      </w:r>
      <w:r>
        <w:t xml:space="preserve"> di dettare una disciplina uniforme, che eviti la possibilità di </w:t>
      </w:r>
      <w:r w:rsidR="00FB526F">
        <w:t xml:space="preserve">  arbitraggio regol</w:t>
      </w:r>
      <w:r w:rsidR="00D81E4F">
        <w:t>a</w:t>
      </w:r>
      <w:r w:rsidR="00FB526F">
        <w:t>mentare</w:t>
      </w:r>
      <w:r>
        <w:t xml:space="preserve"> fra operatori e mercati nazionali. Naturalmente i regolatori nazionali non sono meri </w:t>
      </w:r>
      <w:r w:rsidR="00537F1C">
        <w:t>destinatari</w:t>
      </w:r>
      <w:r>
        <w:t xml:space="preserve"> delle norme, perché partecipano </w:t>
      </w:r>
      <w:r w:rsidR="00537F1C">
        <w:t xml:space="preserve">attivamente </w:t>
      </w:r>
      <w:r>
        <w:lastRenderedPageBreak/>
        <w:t xml:space="preserve">alla loro formazione mediante la loro partecipazione al regolatore europeo, ma una volta </w:t>
      </w:r>
      <w:r w:rsidR="00537F1C">
        <w:t xml:space="preserve">che le regole sono </w:t>
      </w:r>
      <w:r>
        <w:t xml:space="preserve">approvate </w:t>
      </w:r>
      <w:r w:rsidR="00537F1C">
        <w:t xml:space="preserve">esse sono immediatamente e generalmente cogenti, di modo che nessuno Stato può </w:t>
      </w:r>
      <w:r>
        <w:t>sottrarsi alla loro applicazione.</w:t>
      </w:r>
    </w:p>
    <w:p w:rsidR="004D6DA0" w:rsidRDefault="004D6DA0" w:rsidP="00FB526F">
      <w:r>
        <w:t>Il ricorso alle norme tecniche di regolamentazione è stato piuttosto frequente negli ultimi anni</w:t>
      </w:r>
      <w:r w:rsidR="00E4401D">
        <w:t>: si tratta quindi di uno strumento ormai consolidato per la definizione di regole uniformi e vincolanti</w:t>
      </w:r>
      <w:r>
        <w:t xml:space="preserve">. </w:t>
      </w:r>
    </w:p>
    <w:p w:rsidR="006D5952" w:rsidRDefault="00FC5E41" w:rsidP="006D5952">
      <w:r w:rsidRPr="00FC5E41">
        <w:t>Ancora più frequente</w:t>
      </w:r>
      <w:r w:rsidR="00E4401D">
        <w:t xml:space="preserve"> è</w:t>
      </w:r>
      <w:r w:rsidRPr="00FC5E41">
        <w:t xml:space="preserve"> il ricorso alla congerie di strumenti che possono essere qualificati come di </w:t>
      </w:r>
      <w:r w:rsidR="00E574BE" w:rsidRPr="00E4401D">
        <w:rPr>
          <w:i/>
        </w:rPr>
        <w:t xml:space="preserve">soft </w:t>
      </w:r>
      <w:proofErr w:type="spellStart"/>
      <w:r w:rsidR="00907E23" w:rsidRPr="00E4401D">
        <w:rPr>
          <w:i/>
        </w:rPr>
        <w:t>regulation</w:t>
      </w:r>
      <w:proofErr w:type="spellEnd"/>
      <w:r>
        <w:t xml:space="preserve">: </w:t>
      </w:r>
      <w:r w:rsidR="00E574BE">
        <w:t>linee guida, orientamenti</w:t>
      </w:r>
      <w:r>
        <w:t>,</w:t>
      </w:r>
      <w:r w:rsidR="00E574BE">
        <w:t xml:space="preserve"> raccomandazioni, </w:t>
      </w:r>
      <w:r>
        <w:t xml:space="preserve">domande e risposte. Qui il ricorso alla consultazione non è obbligatorio, </w:t>
      </w:r>
      <w:r w:rsidR="00E4401D">
        <w:t>ma viene attivato</w:t>
      </w:r>
      <w:r>
        <w:t xml:space="preserve"> solo “quando necessario”</w:t>
      </w:r>
      <w:r w:rsidR="00E4401D">
        <w:t>, proprio perché non si tratta di determinazioni immediatamente e direttamente vincolanti</w:t>
      </w:r>
      <w:r>
        <w:t>. Pur privi di efficacia cogente, questi strumenti non sono però privi di forza.</w:t>
      </w:r>
      <w:r w:rsidR="00E574BE">
        <w:t xml:space="preserve"> </w:t>
      </w:r>
      <w:r>
        <w:t>L</w:t>
      </w:r>
      <w:r w:rsidR="00E574BE">
        <w:t>e autorità nazionali sono invitate a compiere ogni sforzo per conformarsi agli orientamenti e alle raccomandazioni europee</w:t>
      </w:r>
      <w:r>
        <w:t xml:space="preserve"> e sono tenute</w:t>
      </w:r>
      <w:r w:rsidR="00E4401D">
        <w:t>, ad esempio,</w:t>
      </w:r>
      <w:r>
        <w:t xml:space="preserve"> a comunicare </w:t>
      </w:r>
      <w:r w:rsidR="00E574BE">
        <w:t>all’</w:t>
      </w:r>
      <w:proofErr w:type="spellStart"/>
      <w:r w:rsidR="00E574BE">
        <w:t>Es</w:t>
      </w:r>
      <w:r>
        <w:t>m</w:t>
      </w:r>
      <w:r w:rsidR="00E574BE">
        <w:t>a</w:t>
      </w:r>
      <w:proofErr w:type="spellEnd"/>
      <w:r w:rsidR="00E574BE">
        <w:t xml:space="preserve"> l’avvenuta conformazione del diritto interno entro due mesi dall’emanazione dell’atto di </w:t>
      </w:r>
      <w:r w:rsidR="00E574BE" w:rsidRPr="00E4401D">
        <w:rPr>
          <w:i/>
        </w:rPr>
        <w:t>soft law</w:t>
      </w:r>
      <w:r w:rsidR="00E574BE">
        <w:t xml:space="preserve"> o comunque l’intenzione di predisporre le misure necessarie</w:t>
      </w:r>
      <w:r>
        <w:t xml:space="preserve">, secondo la tecnica del </w:t>
      </w:r>
      <w:proofErr w:type="spellStart"/>
      <w:r w:rsidR="00E574BE" w:rsidRPr="00E4401D">
        <w:rPr>
          <w:i/>
        </w:rPr>
        <w:t>comply</w:t>
      </w:r>
      <w:proofErr w:type="spellEnd"/>
      <w:r w:rsidR="00E574BE" w:rsidRPr="00E4401D">
        <w:rPr>
          <w:i/>
        </w:rPr>
        <w:t xml:space="preserve"> or </w:t>
      </w:r>
      <w:proofErr w:type="spellStart"/>
      <w:r w:rsidR="00E574BE" w:rsidRPr="00E4401D">
        <w:rPr>
          <w:i/>
        </w:rPr>
        <w:t>explain</w:t>
      </w:r>
      <w:proofErr w:type="spellEnd"/>
      <w:r>
        <w:t>. Il regolatore europeo utilizza, inoltre, la sua relazione annuale per una sorta di lista dei virtuosi e de</w:t>
      </w:r>
      <w:r w:rsidR="00E4401D">
        <w:t>gli inadempienti</w:t>
      </w:r>
      <w:r>
        <w:t xml:space="preserve"> (</w:t>
      </w:r>
      <w:r w:rsidR="00E4401D">
        <w:t xml:space="preserve">utilizzando la prassi del </w:t>
      </w:r>
      <w:proofErr w:type="spellStart"/>
      <w:r w:rsidR="00E574BE" w:rsidRPr="00E4401D">
        <w:rPr>
          <w:i/>
        </w:rPr>
        <w:t>naming</w:t>
      </w:r>
      <w:proofErr w:type="spellEnd"/>
      <w:r w:rsidR="00E574BE" w:rsidRPr="00E4401D">
        <w:rPr>
          <w:i/>
        </w:rPr>
        <w:t xml:space="preserve"> and </w:t>
      </w:r>
      <w:proofErr w:type="spellStart"/>
      <w:r w:rsidR="00E574BE" w:rsidRPr="00E4401D">
        <w:rPr>
          <w:i/>
        </w:rPr>
        <w:t>shaming</w:t>
      </w:r>
      <w:proofErr w:type="spellEnd"/>
      <w:r>
        <w:t xml:space="preserve">) e conduce periodicamente una </w:t>
      </w:r>
      <w:proofErr w:type="spellStart"/>
      <w:r w:rsidRPr="00E4401D">
        <w:rPr>
          <w:i/>
        </w:rPr>
        <w:t>pe</w:t>
      </w:r>
      <w:r w:rsidR="00E574BE" w:rsidRPr="00E4401D">
        <w:rPr>
          <w:i/>
        </w:rPr>
        <w:t>er</w:t>
      </w:r>
      <w:proofErr w:type="spellEnd"/>
      <w:r w:rsidR="00E574BE" w:rsidRPr="00E4401D">
        <w:rPr>
          <w:i/>
        </w:rPr>
        <w:t xml:space="preserve"> </w:t>
      </w:r>
      <w:proofErr w:type="spellStart"/>
      <w:r w:rsidR="00E574BE" w:rsidRPr="00E4401D">
        <w:rPr>
          <w:i/>
        </w:rPr>
        <w:t>review</w:t>
      </w:r>
      <w:proofErr w:type="spellEnd"/>
      <w:r w:rsidR="00E574BE" w:rsidRPr="00A954C0">
        <w:t xml:space="preserve"> sullo stato dell’applicazione del diritto europeo in materia</w:t>
      </w:r>
      <w:r w:rsidR="00B51323">
        <w:t>. Anche lo strumento delle domande e risposte viene utilizzato frequentemente per fornire l’int</w:t>
      </w:r>
      <w:r w:rsidR="00E574BE">
        <w:t>erpretazion</w:t>
      </w:r>
      <w:r w:rsidR="00B51323">
        <w:t>e</w:t>
      </w:r>
      <w:r w:rsidR="00E574BE">
        <w:t xml:space="preserve"> di norme </w:t>
      </w:r>
      <w:r w:rsidR="00B51323">
        <w:t>e regole, come una sorta di  preannuncio di orientamenti</w:t>
      </w:r>
      <w:r w:rsidR="00134E69">
        <w:t xml:space="preserve"> -</w:t>
      </w:r>
      <w:r w:rsidR="00B51323">
        <w:t xml:space="preserve"> </w:t>
      </w:r>
      <w:r w:rsidR="00E574BE">
        <w:t>a</w:t>
      </w:r>
      <w:r w:rsidR="00B51323">
        <w:t>i</w:t>
      </w:r>
      <w:r w:rsidR="00E574BE">
        <w:t xml:space="preserve"> quali </w:t>
      </w:r>
      <w:r w:rsidR="00B51323">
        <w:t xml:space="preserve">spesso </w:t>
      </w:r>
      <w:r w:rsidR="00E574BE">
        <w:t xml:space="preserve">le autorità nazionali </w:t>
      </w:r>
      <w:r w:rsidR="00B51323">
        <w:t xml:space="preserve">trovano conveniente </w:t>
      </w:r>
      <w:r w:rsidR="00E574BE">
        <w:t>uniforma</w:t>
      </w:r>
      <w:r w:rsidR="00B51323">
        <w:t>rsi preventivamente</w:t>
      </w:r>
      <w:r w:rsidR="00134E69">
        <w:t xml:space="preserve"> -</w:t>
      </w:r>
      <w:r w:rsidR="00B51323">
        <w:t xml:space="preserve"> oppure con dichiarazioni </w:t>
      </w:r>
      <w:r w:rsidR="006D5952">
        <w:t xml:space="preserve">che sollecitano l’adozione di </w:t>
      </w:r>
      <w:r w:rsidR="00B51323">
        <w:t>determinate</w:t>
      </w:r>
      <w:r w:rsidR="006D5952">
        <w:t xml:space="preserve"> misure</w:t>
      </w:r>
      <w:r w:rsidR="000A1BE5">
        <w:t>,</w:t>
      </w:r>
      <w:r w:rsidR="006D5952">
        <w:t xml:space="preserve"> preannunciando misure formali in assenza di risultati soddisfacenti</w:t>
      </w:r>
      <w:r w:rsidR="005B1FA5">
        <w:t>.</w:t>
      </w:r>
      <w:r w:rsidR="00B51323">
        <w:t xml:space="preserve"> </w:t>
      </w:r>
    </w:p>
    <w:p w:rsidR="00B51323" w:rsidRPr="00E4401D" w:rsidRDefault="00B51323" w:rsidP="00B51323">
      <w:pPr>
        <w:rPr>
          <w:rFonts w:cs="EUAlbertina"/>
          <w:color w:val="000000"/>
          <w:sz w:val="19"/>
          <w:szCs w:val="19"/>
        </w:rPr>
      </w:pPr>
      <w:r>
        <w:t xml:space="preserve">E’ interessante notare la capacità espansiva della </w:t>
      </w:r>
      <w:r w:rsidRPr="00E4401D">
        <w:rPr>
          <w:i/>
        </w:rPr>
        <w:t xml:space="preserve">soft </w:t>
      </w:r>
      <w:proofErr w:type="spellStart"/>
      <w:r w:rsidRPr="00E4401D">
        <w:rPr>
          <w:i/>
        </w:rPr>
        <w:t>regulation</w:t>
      </w:r>
      <w:proofErr w:type="spellEnd"/>
      <w:r>
        <w:t>, specialmente nel settore bancario. A</w:t>
      </w:r>
      <w:r w:rsidR="00220620">
        <w:t>d esempio</w:t>
      </w:r>
      <w:r>
        <w:t>,</w:t>
      </w:r>
      <w:r w:rsidR="00220620">
        <w:t xml:space="preserve"> nel regolamento sul meccanismo di risoluzione</w:t>
      </w:r>
      <w:r w:rsidR="00E4401D">
        <w:t xml:space="preserve"> </w:t>
      </w:r>
      <w:r w:rsidR="00220620">
        <w:t>dell</w:t>
      </w:r>
      <w:r w:rsidR="00E4401D">
        <w:t>e crisi bancarie si prevede che l’</w:t>
      </w:r>
      <w:proofErr w:type="spellStart"/>
      <w:r w:rsidR="00E4401D">
        <w:t>Eba</w:t>
      </w:r>
      <w:proofErr w:type="spellEnd"/>
      <w:r w:rsidR="00E4401D">
        <w:t xml:space="preserve"> possa, di propria iniziativa,  </w:t>
      </w:r>
      <w:r w:rsidR="00E4401D" w:rsidRPr="00E4401D">
        <w:rPr>
          <w:rFonts w:cs="EUAlbertina"/>
          <w:color w:val="000000"/>
        </w:rPr>
        <w:t xml:space="preserve">elaborare orientamenti e raccomandazioni sull’applicazione del diritto </w:t>
      </w:r>
      <w:r w:rsidR="00E4401D" w:rsidRPr="00E4401D">
        <w:rPr>
          <w:rFonts w:cs="EUAlbertina"/>
          <w:color w:val="000000"/>
        </w:rPr>
        <w:lastRenderedPageBreak/>
        <w:t>dell’Unione</w:t>
      </w:r>
      <w:r w:rsidR="00E4401D">
        <w:t xml:space="preserve"> </w:t>
      </w:r>
      <w:r w:rsidR="00E4401D" w:rsidRPr="00E4401D">
        <w:t>n</w:t>
      </w:r>
      <w:r w:rsidR="00E36C71" w:rsidRPr="00E4401D">
        <w:rPr>
          <w:rFonts w:cs="EUAlbertina"/>
          <w:color w:val="000000"/>
        </w:rPr>
        <w:t>ei settori non coperti da norme tecniche di regolamentazione o di attuazione</w:t>
      </w:r>
      <w:r w:rsidR="00E4401D">
        <w:rPr>
          <w:rFonts w:cs="EUAlbertina"/>
          <w:color w:val="000000"/>
        </w:rPr>
        <w:t>.</w:t>
      </w:r>
      <w:r w:rsidR="00E36C71" w:rsidRPr="00220620">
        <w:rPr>
          <w:rFonts w:cs="EUAlbertina"/>
          <w:i/>
          <w:color w:val="000000"/>
        </w:rPr>
        <w:t xml:space="preserve"> </w:t>
      </w:r>
    </w:p>
    <w:p w:rsidR="00932462" w:rsidRDefault="00B51323" w:rsidP="00932462">
      <w:r>
        <w:t>Il settore bancario e creditizio presenta in effetti alcune specificità per la contestuale presenza dell’</w:t>
      </w:r>
      <w:proofErr w:type="spellStart"/>
      <w:r w:rsidR="00A15286">
        <w:t>Eba</w:t>
      </w:r>
      <w:proofErr w:type="spellEnd"/>
      <w:r w:rsidR="00932462">
        <w:t xml:space="preserve"> e </w:t>
      </w:r>
      <w:r>
        <w:t xml:space="preserve">della </w:t>
      </w:r>
      <w:r w:rsidR="00932462">
        <w:t>Bce, con una supremazia tendenziale della prima</w:t>
      </w:r>
      <w:r>
        <w:t xml:space="preserve"> per quanto riguarda la regolazione</w:t>
      </w:r>
      <w:r w:rsidR="00220620">
        <w:t xml:space="preserve">, grazie anche a strumenti come il </w:t>
      </w:r>
      <w:r w:rsidR="00082898">
        <w:t xml:space="preserve">manuale </w:t>
      </w:r>
      <w:r w:rsidR="00220620">
        <w:t xml:space="preserve">unico </w:t>
      </w:r>
      <w:r w:rsidR="00082898">
        <w:t>di supervisione</w:t>
      </w:r>
      <w:r w:rsidR="00C92DD3">
        <w:t xml:space="preserve">. Sono concentrati, però, in capo alla BCE </w:t>
      </w:r>
      <w:r w:rsidR="00BB4CA2">
        <w:t>i compiti di supervisione</w:t>
      </w:r>
      <w:r w:rsidR="00C92DD3">
        <w:t>, con una evidente possibilità di sovrapposizione e di interferenza.</w:t>
      </w:r>
    </w:p>
    <w:p w:rsidR="00BB4CA2" w:rsidRDefault="00BB4CA2" w:rsidP="00BB4CA2">
      <w:r>
        <w:t xml:space="preserve">Un’analisi dei contenuti </w:t>
      </w:r>
      <w:r w:rsidR="00C92DD3">
        <w:t xml:space="preserve">di dettaglio </w:t>
      </w:r>
      <w:r>
        <w:t xml:space="preserve">di questa regolazione </w:t>
      </w:r>
      <w:r w:rsidR="00A15286">
        <w:t>e</w:t>
      </w:r>
      <w:r>
        <w:t xml:space="preserve">sula naturalmente dall’ambito di questo studio. Si può rilevare, però, come l’obiettivo primario </w:t>
      </w:r>
      <w:r w:rsidR="00C92DD3">
        <w:t xml:space="preserve">del nuovo sistema </w:t>
      </w:r>
      <w:r>
        <w:t>non è</w:t>
      </w:r>
      <w:r w:rsidR="00C92DD3">
        <w:t xml:space="preserve"> tanto </w:t>
      </w:r>
      <w:r>
        <w:t>finalistico - stabilire d</w:t>
      </w:r>
      <w:r w:rsidR="00220620">
        <w:t>eterminate regole</w:t>
      </w:r>
      <w:r>
        <w:t xml:space="preserve"> </w:t>
      </w:r>
      <w:r w:rsidR="00220620">
        <w:t xml:space="preserve"> invece che altre – ma metodo</w:t>
      </w:r>
      <w:r>
        <w:t>logico</w:t>
      </w:r>
      <w:r w:rsidR="00220620">
        <w:t>: assicurare l’uniformità e la coerenza nell’attuazione del diritto dell’Unione a livello regolamentare, impedire arbitraggi regolamentari, uniformare non solo le interpretazioni, ma anche le prassi di vigilanza, creare una cultura comune e unica della vigilanza, assicurare parità a tutti partecipanti al mercato quale che sia il segmento nazionale dei mercato interno europeo sul quale operano</w:t>
      </w:r>
      <w:r>
        <w:t>.</w:t>
      </w:r>
    </w:p>
    <w:p w:rsidR="00BB4CA2" w:rsidRDefault="00BB4CA2" w:rsidP="00BB4CA2">
      <w:r>
        <w:t>Q</w:t>
      </w:r>
      <w:r w:rsidR="00220620">
        <w:t xml:space="preserve">uesto obiettivo viene perseguito imputando ad una istituzione centrale – appunto </w:t>
      </w:r>
      <w:proofErr w:type="spellStart"/>
      <w:r w:rsidR="00220620">
        <w:t>Eba</w:t>
      </w:r>
      <w:proofErr w:type="spellEnd"/>
      <w:r w:rsidR="00220620">
        <w:t xml:space="preserve"> ed </w:t>
      </w:r>
      <w:proofErr w:type="spellStart"/>
      <w:r w:rsidR="00220620">
        <w:t>Esma</w:t>
      </w:r>
      <w:proofErr w:type="spellEnd"/>
      <w:r w:rsidR="00220620">
        <w:t xml:space="preserve"> – i poteri regolatori</w:t>
      </w:r>
      <w:r>
        <w:t xml:space="preserve">. I destinatari di questa regolazione sono, allo stesso tempo, il mercato e le autorità nazionali di regolazione e di supervisione. La regolazione europea si impone, però, indipendentemente dalle autorità nazionali e, in caso </w:t>
      </w:r>
      <w:r w:rsidR="00B11C96">
        <w:t>d</w:t>
      </w:r>
      <w:r>
        <w:t>i inerzia o non ottemperanza da parte loro, anche contro di esse, come appare chiaro dall’esame dei poteri attribuiti in via esclusiva ai regolatori europei</w:t>
      </w:r>
      <w:r w:rsidR="00B11C96">
        <w:t xml:space="preserve">, </w:t>
      </w:r>
      <w:r w:rsidR="005B1FA5">
        <w:t>esaminati di seguito.</w:t>
      </w:r>
    </w:p>
    <w:p w:rsidR="00B11C96" w:rsidRDefault="00B11C96" w:rsidP="00BB4CA2"/>
    <w:p w:rsidR="001F2A98" w:rsidRPr="00311C6D" w:rsidRDefault="00311C6D" w:rsidP="001F2A98">
      <w:r w:rsidRPr="00311C6D">
        <w:t>2</w:t>
      </w:r>
      <w:r w:rsidR="001F2A98" w:rsidRPr="00311C6D">
        <w:t xml:space="preserve">.2 </w:t>
      </w:r>
      <w:r w:rsidR="005A65B7" w:rsidRPr="00311C6D">
        <w:t>I</w:t>
      </w:r>
      <w:r w:rsidR="001F2A98" w:rsidRPr="00311C6D">
        <w:t xml:space="preserve"> poteri </w:t>
      </w:r>
      <w:r w:rsidR="007316E8">
        <w:t xml:space="preserve">di vigilanza e supervisione </w:t>
      </w:r>
      <w:r w:rsidR="003C3097">
        <w:t xml:space="preserve">attribuiti in via diretta ed esclusiva alle autorità </w:t>
      </w:r>
      <w:r w:rsidR="001F2A98" w:rsidRPr="00311C6D">
        <w:t>e</w:t>
      </w:r>
      <w:r w:rsidR="003C3097">
        <w:t>uropee</w:t>
      </w:r>
    </w:p>
    <w:p w:rsidR="00C54662" w:rsidRDefault="00C54662" w:rsidP="001F2A98">
      <w:r>
        <w:t xml:space="preserve"> Rileva, innanzitutto, un insieme di poteri che, in quanto attribuiti </w:t>
      </w:r>
      <w:r w:rsidR="00782B5C">
        <w:t>– con identica formulazione normativa</w:t>
      </w:r>
      <w:r w:rsidR="009C3556">
        <w:rPr>
          <w:rStyle w:val="Rimandonotaapidipagina"/>
        </w:rPr>
        <w:footnoteReference w:id="13"/>
      </w:r>
      <w:r w:rsidR="00782B5C">
        <w:t xml:space="preserve"> - </w:t>
      </w:r>
      <w:r>
        <w:t xml:space="preserve">ad ogni  </w:t>
      </w:r>
      <w:r w:rsidR="00EC759E">
        <w:t>autorità</w:t>
      </w:r>
      <w:r>
        <w:t>, ne caratterizzano in modo uniforme il ruolo nel settore di riferimento</w:t>
      </w:r>
      <w:r w:rsidR="00320D84">
        <w:t xml:space="preserve"> come soggetti in grado di incidere </w:t>
      </w:r>
      <w:r w:rsidR="00320D84">
        <w:lastRenderedPageBreak/>
        <w:t>sull’attuazione del diritto europeo da parte delle autorità</w:t>
      </w:r>
      <w:r w:rsidR="00EC759E">
        <w:t xml:space="preserve"> nazionali</w:t>
      </w:r>
      <w:r w:rsidR="00320D84">
        <w:t xml:space="preserve"> e, a determinate condizioni, di dare diretta attuazione al diritto dell’Unione</w:t>
      </w:r>
      <w:r w:rsidR="007B48FE">
        <w:rPr>
          <w:rStyle w:val="Rimandonotaapidipagina"/>
        </w:rPr>
        <w:footnoteReference w:id="14"/>
      </w:r>
      <w:r>
        <w:t xml:space="preserve">. </w:t>
      </w:r>
    </w:p>
    <w:p w:rsidR="00C54662" w:rsidRDefault="00EC759E" w:rsidP="001F2A98">
      <w:r>
        <w:t>Le autorità</w:t>
      </w:r>
      <w:r w:rsidR="00C54662">
        <w:t xml:space="preserve"> europe</w:t>
      </w:r>
      <w:r>
        <w:t>e</w:t>
      </w:r>
      <w:r w:rsidR="00C54662">
        <w:t xml:space="preserve"> possono, innanzitutto, verificare l’adempimento e, soprattutto, la violazione del diritto europeo da parte delle autorità nazionali (anche su richiesta del gruppo degli </w:t>
      </w:r>
      <w:proofErr w:type="spellStart"/>
      <w:r w:rsidR="00C54662" w:rsidRPr="00C54662">
        <w:rPr>
          <w:i/>
        </w:rPr>
        <w:t>stakeholders</w:t>
      </w:r>
      <w:proofErr w:type="spellEnd"/>
      <w:r w:rsidR="00C54662">
        <w:t xml:space="preserve"> costitu</w:t>
      </w:r>
      <w:r w:rsidR="009C3556">
        <w:t>ito presso ciascun regolatore).</w:t>
      </w:r>
      <w:r w:rsidR="007B48FE">
        <w:t xml:space="preserve"> In caso di accertata violazione, l</w:t>
      </w:r>
      <w:r>
        <w:t>’autorità europea</w:t>
      </w:r>
      <w:r w:rsidR="007B48FE">
        <w:t xml:space="preserve"> invita l’autorità nazionale ad adempiere </w:t>
      </w:r>
      <w:r w:rsidR="004E16F3">
        <w:t>con una raccomandazione.</w:t>
      </w:r>
      <w:r w:rsidR="007B48FE">
        <w:t xml:space="preserve"> </w:t>
      </w:r>
      <w:r w:rsidR="004E16F3">
        <w:t>N</w:t>
      </w:r>
      <w:r w:rsidR="007B48FE">
        <w:t>el caso in cui la violazione persista</w:t>
      </w:r>
      <w:r w:rsidR="004E16F3">
        <w:t>,</w:t>
      </w:r>
      <w:r w:rsidR="007B48FE">
        <w:t xml:space="preserve"> l</w:t>
      </w:r>
      <w:r>
        <w:t>’autorità europea</w:t>
      </w:r>
      <w:r w:rsidR="007B48FE">
        <w:t xml:space="preserve"> chiede un </w:t>
      </w:r>
      <w:r w:rsidR="004E16F3">
        <w:t>parere</w:t>
      </w:r>
      <w:r w:rsidR="007B48FE">
        <w:t xml:space="preserve"> alla Commissione europea sulle misure correttive. Se ancora l’autorità nazionale non ottempera, si attiva il potere sostitutivo del</w:t>
      </w:r>
      <w:r>
        <w:t>l’autorità</w:t>
      </w:r>
      <w:r w:rsidR="007B48FE">
        <w:t xml:space="preserve"> europe</w:t>
      </w:r>
      <w:r>
        <w:t>a</w:t>
      </w:r>
      <w:r w:rsidR="007B48FE">
        <w:t xml:space="preserve">, che può anche indirizzare un ordine direttamente all’operatore del mercato nazionale. La possibilità di esercitare il potere sostitutivo è circoscritta ai casi di violazione di norme di diritto europeo direttamente applicabili, che non hanno richiesto recepimento, ma si tratta purtuttavia di un meccanismo di sostituzione tipico </w:t>
      </w:r>
      <w:r>
        <w:t>d</w:t>
      </w:r>
      <w:r w:rsidR="007B48FE">
        <w:t xml:space="preserve">ei sistemi accentrati e gerarchici, in cui la competenza dell’autorità “inferiore” può essere attratta nella sfera dell’autorità “superiore”. </w:t>
      </w:r>
    </w:p>
    <w:p w:rsidR="007B48FE" w:rsidRDefault="007B48FE" w:rsidP="001F2A98">
      <w:r>
        <w:t xml:space="preserve">Una seconda fattispecie di attivazione dei poteri sostitutivi si può avere </w:t>
      </w:r>
      <w:r w:rsidR="009C3556">
        <w:t>nel caso in cui il Consiglio dell’Unione abbia dichiarato l’esistenza di una situazione di emergenza</w:t>
      </w:r>
      <w:r w:rsidR="004E16F3">
        <w:t>. In questi casi, l’autorità europea può adottare decisioni individuali nei confronti di singole autorità nazionali e, di nuovo, nei confronti di singoli operatori finanziari se viene in gioco l’attuazione di una norma europea direttamente applicabile, a condizione che la misura sia urgente e necessaria per ripristinare il regolare funzionamento e l’integrità dei mercati finanziari, o la stabilità (generale o anche parziale) del sistema finanziario europeo.</w:t>
      </w:r>
    </w:p>
    <w:p w:rsidR="001F2A98" w:rsidRDefault="005B1FA5" w:rsidP="001F2A98">
      <w:r>
        <w:t>L’autorità europea</w:t>
      </w:r>
      <w:r w:rsidR="004E16F3">
        <w:t xml:space="preserve"> può intervenire, i</w:t>
      </w:r>
      <w:r w:rsidR="007B48FE">
        <w:t xml:space="preserve">nfine, </w:t>
      </w:r>
      <w:r w:rsidR="004E16F3">
        <w:t>i</w:t>
      </w:r>
      <w:r w:rsidR="007B48FE">
        <w:t>n</w:t>
      </w:r>
      <w:r w:rsidR="004E16F3">
        <w:t xml:space="preserve"> </w:t>
      </w:r>
      <w:r w:rsidR="007B48FE">
        <w:t>cas</w:t>
      </w:r>
      <w:r w:rsidR="004E16F3">
        <w:t>o di conflitto</w:t>
      </w:r>
      <w:r w:rsidR="007B48FE">
        <w:t xml:space="preserve"> fra </w:t>
      </w:r>
      <w:r w:rsidR="004E16F3">
        <w:t xml:space="preserve">le </w:t>
      </w:r>
      <w:r w:rsidR="007B48FE">
        <w:t xml:space="preserve">autorità nazionali </w:t>
      </w:r>
      <w:r w:rsidR="004E16F3">
        <w:t>sul procedimento seguito o sul contenuto di una misura</w:t>
      </w:r>
      <w:r w:rsidR="000227F3">
        <w:t xml:space="preserve"> in attuazione del diritto europeo </w:t>
      </w:r>
      <w:r w:rsidR="007B48FE">
        <w:t xml:space="preserve"> </w:t>
      </w:r>
      <w:r w:rsidR="000227F3">
        <w:t xml:space="preserve">rispetto a situazioni transfrontaliere </w:t>
      </w:r>
      <w:r w:rsidR="0052506A">
        <w:t>e</w:t>
      </w:r>
      <w:r w:rsidR="007B48FE">
        <w:t xml:space="preserve"> risolvere il </w:t>
      </w:r>
      <w:r w:rsidR="007B48FE">
        <w:lastRenderedPageBreak/>
        <w:t xml:space="preserve">disaccordo </w:t>
      </w:r>
      <w:r w:rsidR="0052506A">
        <w:t>imponendo obblighi di fare, o di non fare, con efficacia vincolante</w:t>
      </w:r>
      <w:r w:rsidR="000227F3">
        <w:rPr>
          <w:rStyle w:val="Rimandonotaapidipagina"/>
        </w:rPr>
        <w:footnoteReference w:id="15"/>
      </w:r>
      <w:r w:rsidR="0052506A">
        <w:t xml:space="preserve"> </w:t>
      </w:r>
      <w:r w:rsidR="007B48FE">
        <w:t>(sono escluse le questioni che comportino una responsabilità fiscale</w:t>
      </w:r>
      <w:r w:rsidR="004E16F3">
        <w:t xml:space="preserve"> dell’autorità nazionale</w:t>
      </w:r>
      <w:r w:rsidR="007B48FE">
        <w:t>).</w:t>
      </w:r>
      <w:r w:rsidR="0052506A">
        <w:t xml:space="preserve"> Anche in quest’ultimo caso, se l’autorità nazionale non conforma la propria attività alla decisione dell’autorità europea di vigilanza, è possibile per quest’ultima adottare un provvedimento direttamente nei confronti di s</w:t>
      </w:r>
      <w:r w:rsidR="00EC759E">
        <w:t>ingoli operatori finanziari.</w:t>
      </w:r>
    </w:p>
    <w:p w:rsidR="00EC759E" w:rsidRDefault="00EC759E" w:rsidP="001F2A98">
      <w:r>
        <w:t xml:space="preserve">L’attribuzione di questi poteri in via esclusiva e diretta alle autorità europee ha tre conseguenze importanti. </w:t>
      </w:r>
    </w:p>
    <w:p w:rsidR="00EC759E" w:rsidRDefault="00EC759E" w:rsidP="001F2A98">
      <w:r>
        <w:t>Si consente, innanzitutto, un rapporto diretto fra autorità europea e partecipanti ai mercati nazionali: il diritto europeo diventa direttamente applicabile anche se</w:t>
      </w:r>
      <w:r w:rsidR="00822E1D">
        <w:t>nza</w:t>
      </w:r>
      <w:r>
        <w:t xml:space="preserve"> l’intermediazione, anzi contro la condotta inerte o ostruttiva, dell’autorità nazionale</w:t>
      </w:r>
      <w:r w:rsidR="00F37218">
        <w:t>: anzi, la decisione sostitutiva dell’autorità europea prevale su eventuali precedenti decisioni dell’autorità nazionale</w:t>
      </w:r>
      <w:r>
        <w:t>. La nozione di diritto europeo direttamente applicabile acquista, così, una nuova dimensione, perché la diretta applicabilità si vale di un apparato amministrativo centrale e non deve passare, come in precedenza (e come ancora è per altre aree del diritto europeo) per un’azione davanti ad un giudice a fronte della resistenza dell’amministrazione nazionale.</w:t>
      </w:r>
    </w:p>
    <w:p w:rsidR="00EC759E" w:rsidRDefault="00EC759E" w:rsidP="001F2A98">
      <w:r>
        <w:t>L’autorità europea diviene, dunque, sia pur nei limiti anzidetti, il vero e autentico interprete del diritto europeo e l’attività interpretativa è assistita da concreti poteri amministrativi di intervento.</w:t>
      </w:r>
    </w:p>
    <w:p w:rsidR="00EC759E" w:rsidRDefault="00EC759E" w:rsidP="001F2A98">
      <w:r>
        <w:t>Si cerca di imporre</w:t>
      </w:r>
      <w:r w:rsidR="00822E1D">
        <w:t>,</w:t>
      </w:r>
      <w:r>
        <w:t xml:space="preserve"> così, una interpretazione e un’attuazione uniforme del diritto europeo e, come sempre accade nei sistemi ammin</w:t>
      </w:r>
      <w:r w:rsidR="00210AB8">
        <w:t>is</w:t>
      </w:r>
      <w:r>
        <w:t>tr</w:t>
      </w:r>
      <w:r w:rsidR="00210AB8">
        <w:t>a</w:t>
      </w:r>
      <w:r>
        <w:t xml:space="preserve">tivi, </w:t>
      </w:r>
      <w:r w:rsidR="00210AB8">
        <w:t>il perseguimento dell’uniformità è affidato a meccanismi di accentramento dei poteri amministrativi.</w:t>
      </w:r>
    </w:p>
    <w:p w:rsidR="005B1FA5" w:rsidRDefault="0016347A" w:rsidP="001F2A98">
      <w:pPr>
        <w:rPr>
          <w:rFonts w:eastAsia="Times New Roman"/>
          <w:color w:val="222222"/>
          <w:shd w:val="clear" w:color="auto" w:fill="FFFFFF"/>
        </w:rPr>
      </w:pPr>
      <w:r>
        <w:t xml:space="preserve">Si tratta, peraltro, di un sistema ancora largamente potenziale, più che effettivo. </w:t>
      </w:r>
      <w:r w:rsidR="005B1FA5">
        <w:t xml:space="preserve">I poteri sostitutivi, nei primi quattro anni di attività, sono stati </w:t>
      </w:r>
      <w:r w:rsidR="00B860A1">
        <w:t xml:space="preserve">raramente </w:t>
      </w:r>
      <w:r w:rsidR="005B1FA5">
        <w:t xml:space="preserve">esercitati, per un insieme di ragioni: </w:t>
      </w:r>
      <w:r w:rsidR="00822E1D">
        <w:t xml:space="preserve">la </w:t>
      </w:r>
      <w:r w:rsidR="005B1FA5">
        <w:t xml:space="preserve">difficoltà di individuare con chiarezza i presupposti per l’attivazione, l’onerosità della procedura e, </w:t>
      </w:r>
      <w:r w:rsidR="005B1FA5" w:rsidRPr="005B1FA5">
        <w:rPr>
          <w:i/>
        </w:rPr>
        <w:t xml:space="preserve">last </w:t>
      </w:r>
      <w:proofErr w:type="spellStart"/>
      <w:r w:rsidR="005B1FA5" w:rsidRPr="005B1FA5">
        <w:rPr>
          <w:i/>
        </w:rPr>
        <w:t>but</w:t>
      </w:r>
      <w:proofErr w:type="spellEnd"/>
      <w:r w:rsidR="005B1FA5" w:rsidRPr="005B1FA5">
        <w:rPr>
          <w:i/>
        </w:rPr>
        <w:t xml:space="preserve"> </w:t>
      </w:r>
      <w:proofErr w:type="spellStart"/>
      <w:r w:rsidR="005B1FA5" w:rsidRPr="005B1FA5">
        <w:rPr>
          <w:i/>
        </w:rPr>
        <w:t>not</w:t>
      </w:r>
      <w:proofErr w:type="spellEnd"/>
      <w:r w:rsidR="005B1FA5" w:rsidRPr="005B1FA5">
        <w:rPr>
          <w:i/>
        </w:rPr>
        <w:t xml:space="preserve"> </w:t>
      </w:r>
      <w:proofErr w:type="spellStart"/>
      <w:r w:rsidR="005B1FA5" w:rsidRPr="005B1FA5">
        <w:rPr>
          <w:i/>
        </w:rPr>
        <w:t>least</w:t>
      </w:r>
      <w:proofErr w:type="spellEnd"/>
      <w:r w:rsidR="005B1FA5">
        <w:t xml:space="preserve">, il </w:t>
      </w:r>
      <w:r w:rsidR="005B1FA5">
        <w:lastRenderedPageBreak/>
        <w:t>fatto che le autorità nazionali destinatarie dell’eventuale esercizio del potere sostitutivo sono parte integrante dell’autorità europea</w:t>
      </w:r>
      <w:r w:rsidR="00063E81" w:rsidRPr="006A7FC2">
        <w:rPr>
          <w:rStyle w:val="Rimandonotaapidipagina"/>
          <w:rFonts w:eastAsia="Times New Roman"/>
          <w:color w:val="222222"/>
          <w:shd w:val="clear" w:color="auto" w:fill="FFFFFF"/>
          <w:lang w:val="en-US"/>
        </w:rPr>
        <w:footnoteReference w:id="16"/>
      </w:r>
      <w:r w:rsidR="00063E81" w:rsidRPr="006A7FC2">
        <w:rPr>
          <w:rFonts w:eastAsia="Times New Roman"/>
          <w:color w:val="222222"/>
          <w:shd w:val="clear" w:color="auto" w:fill="FFFFFF"/>
        </w:rPr>
        <w:t>.</w:t>
      </w:r>
      <w:r>
        <w:rPr>
          <w:rFonts w:eastAsia="Times New Roman"/>
          <w:color w:val="222222"/>
          <w:shd w:val="clear" w:color="auto" w:fill="FFFFFF"/>
        </w:rPr>
        <w:t xml:space="preserve"> La sola previsione di poteri sostitutivi ha, però, una funzione deterrente rispetto alle violazioni del diritto dell’Unione e ai contrasti fra di esse funge, almeno in via di ipotesi, da valvola di chiusura del sistema, ove questo si trovasse ad affrontare situazioni che non abbiano trovato soluzione nel consenso fra le autorità nazionali in quanto componenti dell’autorità europea.</w:t>
      </w:r>
    </w:p>
    <w:p w:rsidR="00D00D0A" w:rsidRDefault="00D00D0A" w:rsidP="001F2A98">
      <w:r>
        <w:rPr>
          <w:rFonts w:eastAsia="Times New Roman"/>
          <w:color w:val="222222"/>
          <w:shd w:val="clear" w:color="auto" w:fill="FFFFFF"/>
        </w:rPr>
        <w:t>Ai poteri sostitutivi nelle tre ipotesi appena ricordate  si aggiungono alcuni poteri di intervento specifici e alcuni poteri generali di coordinamento. Fra i primi rientrano il potere, attribuito sia all’</w:t>
      </w:r>
      <w:proofErr w:type="spellStart"/>
      <w:r>
        <w:rPr>
          <w:rFonts w:eastAsia="Times New Roman"/>
          <w:color w:val="222222"/>
          <w:shd w:val="clear" w:color="auto" w:fill="FFFFFF"/>
        </w:rPr>
        <w:t>Eba</w:t>
      </w:r>
      <w:proofErr w:type="spellEnd"/>
      <w:r>
        <w:rPr>
          <w:rFonts w:eastAsia="Times New Roman"/>
          <w:color w:val="222222"/>
          <w:shd w:val="clear" w:color="auto" w:fill="FFFFFF"/>
        </w:rPr>
        <w:t xml:space="preserve"> sia all’</w:t>
      </w:r>
      <w:proofErr w:type="spellStart"/>
      <w:r>
        <w:rPr>
          <w:rFonts w:eastAsia="Times New Roman"/>
          <w:color w:val="222222"/>
          <w:shd w:val="clear" w:color="auto" w:fill="FFFFFF"/>
        </w:rPr>
        <w:t>Esma</w:t>
      </w:r>
      <w:proofErr w:type="spellEnd"/>
      <w:r>
        <w:rPr>
          <w:rFonts w:eastAsia="Times New Roman"/>
          <w:color w:val="222222"/>
          <w:shd w:val="clear" w:color="auto" w:fill="FFFFFF"/>
        </w:rPr>
        <w:t xml:space="preserve">, di </w:t>
      </w:r>
      <w:r>
        <w:t>intervenire direttamente su specifici prodotti o attività finanziari, vietandone la vendita o  l’esercizio sul mercato europeo o anche su un mercato nazionale, a fronte di un rischio di perturbazione del mercato, o il potere attribuito all’</w:t>
      </w:r>
      <w:proofErr w:type="spellStart"/>
      <w:r>
        <w:t>Eba</w:t>
      </w:r>
      <w:proofErr w:type="spellEnd"/>
      <w:r>
        <w:t xml:space="preserve"> di assumere una decisione vincolante rispetto ad un disaccordo fra la Bce e un’autorità nazionale. Le autorità europee sono inoltre tenute a valutare i possibili rischi sistemici, ad utilizzare gli </w:t>
      </w:r>
      <w:r w:rsidRPr="00006516">
        <w:rPr>
          <w:i/>
        </w:rPr>
        <w:t xml:space="preserve">stress </w:t>
      </w:r>
      <w:proofErr w:type="spellStart"/>
      <w:r w:rsidRPr="00006516">
        <w:rPr>
          <w:i/>
        </w:rPr>
        <w:t>tests</w:t>
      </w:r>
      <w:proofErr w:type="spellEnd"/>
      <w:r>
        <w:t xml:space="preserve"> per la valutare la “pericolosità” di categorie di operatori e ad adottare misure di vigilanza rafforzata a fronte di particolari profili di rischio.</w:t>
      </w:r>
    </w:p>
    <w:p w:rsidR="00D81E4F" w:rsidRDefault="00D00D0A" w:rsidP="00006516">
      <w:r>
        <w:t xml:space="preserve">I regolamenti dotano, infine, le autorità europee di compiti  </w:t>
      </w:r>
      <w:r w:rsidR="007B48FE">
        <w:t>di coordinamento e di controllo</w:t>
      </w:r>
      <w:r w:rsidR="007B48FE" w:rsidRPr="007B48FE">
        <w:t xml:space="preserve"> </w:t>
      </w:r>
      <w:r w:rsidR="00006516">
        <w:t xml:space="preserve">finalizzati a </w:t>
      </w:r>
      <w:r w:rsidR="007B48FE">
        <w:t>stimolare e facilitare la delega di compiti di supervisione fra autorità competenti</w:t>
      </w:r>
      <w:r w:rsidR="00006516">
        <w:t>, a</w:t>
      </w:r>
      <w:r w:rsidR="007B48FE">
        <w:t xml:space="preserve"> costruire pratiche e cultur</w:t>
      </w:r>
      <w:r w:rsidR="00822E1D">
        <w:t>e</w:t>
      </w:r>
      <w:r w:rsidR="007B48FE">
        <w:t xml:space="preserve"> comuni, </w:t>
      </w:r>
      <w:r w:rsidR="00006516">
        <w:t>a</w:t>
      </w:r>
      <w:r w:rsidR="007B48FE">
        <w:t>d</w:t>
      </w:r>
      <w:r w:rsidR="00006516">
        <w:t xml:space="preserve"> elaborare metodologie comuni di analisi e d</w:t>
      </w:r>
      <w:r w:rsidR="007B48FE">
        <w:t>i valuta</w:t>
      </w:r>
      <w:r w:rsidR="00006516">
        <w:t>zion</w:t>
      </w:r>
      <w:r w:rsidR="007B48FE">
        <w:t xml:space="preserve">e </w:t>
      </w:r>
      <w:r w:rsidR="00006516">
        <w:t>del</w:t>
      </w:r>
      <w:r w:rsidR="007B48FE">
        <w:t xml:space="preserve">la </w:t>
      </w:r>
      <w:proofErr w:type="spellStart"/>
      <w:r w:rsidR="007B48FE" w:rsidRPr="00006516">
        <w:rPr>
          <w:i/>
        </w:rPr>
        <w:t>resilience</w:t>
      </w:r>
      <w:proofErr w:type="spellEnd"/>
      <w:r w:rsidR="007B48FE">
        <w:t xml:space="preserve"> degli operatori di mercato</w:t>
      </w:r>
      <w:r w:rsidR="00006516">
        <w:t xml:space="preserve">, alla periodica conduzione di </w:t>
      </w:r>
      <w:proofErr w:type="spellStart"/>
      <w:r w:rsidR="007B48FE" w:rsidRPr="00006516">
        <w:rPr>
          <w:i/>
        </w:rPr>
        <w:t>peer</w:t>
      </w:r>
      <w:proofErr w:type="spellEnd"/>
      <w:r w:rsidR="007B48FE" w:rsidRPr="00006516">
        <w:rPr>
          <w:i/>
        </w:rPr>
        <w:t xml:space="preserve"> </w:t>
      </w:r>
      <w:proofErr w:type="spellStart"/>
      <w:r w:rsidR="007B48FE" w:rsidRPr="00006516">
        <w:rPr>
          <w:i/>
        </w:rPr>
        <w:t>review</w:t>
      </w:r>
      <w:proofErr w:type="spellEnd"/>
      <w:r w:rsidR="007B48FE">
        <w:t xml:space="preserve"> </w:t>
      </w:r>
      <w:r w:rsidR="00006516">
        <w:t>per confrontare l’attività ed i risultati delle autorità nazionali.</w:t>
      </w:r>
    </w:p>
    <w:p w:rsidR="007B48FE" w:rsidRDefault="00534F7C" w:rsidP="007B48FE">
      <w:r>
        <w:t>Vediamo ora come i poteri di vigilanza</w:t>
      </w:r>
      <w:r w:rsidR="00063E81">
        <w:t xml:space="preserve">, attribuiti in via </w:t>
      </w:r>
      <w:r w:rsidR="00DC21B7">
        <w:t xml:space="preserve">non </w:t>
      </w:r>
      <w:r w:rsidR="00063E81">
        <w:t>esclusiva alle autorità europee,</w:t>
      </w:r>
      <w:r>
        <w:t xml:space="preserve"> sono configurati specificamente nei due settori del cre</w:t>
      </w:r>
      <w:r w:rsidR="003326E2">
        <w:t>dito e del mercato mobiliare.</w:t>
      </w:r>
    </w:p>
    <w:p w:rsidR="00534F7C" w:rsidRDefault="00534F7C" w:rsidP="007B48FE"/>
    <w:p w:rsidR="00D81E4F" w:rsidRPr="00311C6D" w:rsidRDefault="00311C6D" w:rsidP="001F2A98">
      <w:r w:rsidRPr="00311C6D">
        <w:t>2</w:t>
      </w:r>
      <w:r w:rsidR="005A65B7" w:rsidRPr="00311C6D">
        <w:t>.3 La vigilanza europea sulle banche</w:t>
      </w:r>
    </w:p>
    <w:p w:rsidR="001F2A98" w:rsidRDefault="00534F7C" w:rsidP="001F2A98">
      <w:r>
        <w:lastRenderedPageBreak/>
        <w:t xml:space="preserve">I poteri di vigilanza e di supervisione attribuiti alla Bce </w:t>
      </w:r>
      <w:r w:rsidR="00DC21B7">
        <w:t>sono tali, per intensità ed estensione, da porla al vertice del sistema di supervisione bancaria nell’ordinamento europeo, con penetranti poteri di intervento anche nei singoli ordinamenti nazionali</w:t>
      </w:r>
      <w:r w:rsidR="00895477">
        <w:t>, all’interno del quadro definito per il funzionamento del meccanismo unico di vigilanza</w:t>
      </w:r>
      <w:r w:rsidR="00822E1D">
        <w:rPr>
          <w:rStyle w:val="Rimandonotaapidipagina"/>
        </w:rPr>
        <w:footnoteReference w:id="17"/>
      </w:r>
      <w:r w:rsidR="00DC21B7">
        <w:t>.</w:t>
      </w:r>
    </w:p>
    <w:p w:rsidR="00DC21B7" w:rsidRDefault="00DC21B7" w:rsidP="00DC21B7">
      <w:r>
        <w:t>Il reg 1024/2013 e il reg 468/2014 definiscono le procedure e distinguono fra procedure di vigilanza della Bce, procedure di vigilanza delle autorità nazionali</w:t>
      </w:r>
      <w:r w:rsidRPr="00DC21B7">
        <w:t xml:space="preserve"> </w:t>
      </w:r>
      <w:r>
        <w:t>e procedure comuni.</w:t>
      </w:r>
    </w:p>
    <w:p w:rsidR="00895477" w:rsidRDefault="00DC21B7" w:rsidP="001F2A98">
      <w:r>
        <w:t>L</w:t>
      </w:r>
      <w:r w:rsidR="00534F7C">
        <w:t xml:space="preserve">a Bce </w:t>
      </w:r>
      <w:r>
        <w:t xml:space="preserve">è titolare, in primo luogo, di </w:t>
      </w:r>
      <w:r w:rsidR="00534F7C">
        <w:t>alcune compet</w:t>
      </w:r>
      <w:r w:rsidR="001A2BB8">
        <w:t xml:space="preserve">enze </w:t>
      </w:r>
      <w:r w:rsidR="00534F7C">
        <w:t xml:space="preserve">proprie, che </w:t>
      </w:r>
      <w:r w:rsidR="001A2BB8">
        <w:t xml:space="preserve">le sono attribuite in via esclusiva, </w:t>
      </w:r>
      <w:r>
        <w:t>relative ai cosiddetti intermediari significativi in ciascun ordinamento nazionale. Alle autorità nazionali spettano i corrispondenti poteri per gli intermediari qualificati come non significativi</w:t>
      </w:r>
      <w:r w:rsidR="00895477" w:rsidRPr="00895477">
        <w:t xml:space="preserve"> </w:t>
      </w:r>
      <w:r w:rsidR="00895477">
        <w:t>e assistono la BCE per la vigilanza sugli intermediari più significativi.</w:t>
      </w:r>
    </w:p>
    <w:p w:rsidR="00DC21B7" w:rsidRDefault="00895477" w:rsidP="001F2A98">
      <w:r>
        <w:t>L</w:t>
      </w:r>
      <w:r w:rsidR="00DC21B7">
        <w:t>a Bce può attrarre nella propria competenza anche specifici intermediari non significativi, quando lo ritenga necessario</w:t>
      </w:r>
      <w:r w:rsidRPr="00895477">
        <w:t xml:space="preserve"> </w:t>
      </w:r>
      <w:r>
        <w:t>per assicurare la coerenza nell’applicazione degli standard di vigilanza, previa consultazione con l’autorità nazionale di vigilanza interessata</w:t>
      </w:r>
      <w:r w:rsidR="00DC21B7">
        <w:t xml:space="preserve">. Essa dispone, quindi, del potere di ridefinire, ampliandolo, l’ambito della propria competenza: un potere tipico della </w:t>
      </w:r>
      <w:proofErr w:type="spellStart"/>
      <w:r w:rsidR="00DC21B7">
        <w:t>sovraordinazione</w:t>
      </w:r>
      <w:proofErr w:type="spellEnd"/>
      <w:r w:rsidR="00DC21B7">
        <w:t xml:space="preserve"> amministrativa, che rende l’ambito di competenza delle autorità nazionali meno rigido e sottoposto alla valutazione dell’autorità sovraordinata, a seconda delle circostanze </w:t>
      </w:r>
      <w:r w:rsidR="00A62EDE">
        <w:t>nonchè</w:t>
      </w:r>
      <w:r w:rsidR="00DC21B7">
        <w:t>, è facile supporre, a seconda del modo in cui la vigilanza nazionale viene esercitata.</w:t>
      </w:r>
    </w:p>
    <w:p w:rsidR="00895477" w:rsidRDefault="00895477" w:rsidP="00895477">
      <w:r>
        <w:t xml:space="preserve">Sotto il profilo dei rapporti fra autorità di vigilanza europea e autorità nazionali si può quindi rilevare che il perimetro della vigilanza europea è mobile a discrezione della BCE, a conferma del suo ruolo centrale nell’assetto complessivo. Come spesso accade nei sistemi accentrati, è l’autorità centrale che può attrarre a sé compiti ordinariamente attributi alle amministrazioni decentrate e </w:t>
      </w:r>
      <w:r>
        <w:lastRenderedPageBreak/>
        <w:t>questa “attrazione” presenta caratteri più simili a quelli di un potere di avocazione che non i caratteri tipici della sussidiarietà</w:t>
      </w:r>
      <w:r w:rsidR="003B24BA">
        <w:t xml:space="preserve"> (come risulta anche dalle disposizioni dell’articolo 6, commi 3 e 5 del regolamento sul Meccanismo unico di vigilanza)</w:t>
      </w:r>
      <w:r>
        <w:t>.</w:t>
      </w:r>
    </w:p>
    <w:p w:rsidR="00DC21B7" w:rsidRDefault="00F81553" w:rsidP="001F2A98">
      <w:r>
        <w:t>Anche per le procedure comuni</w:t>
      </w:r>
      <w:r>
        <w:rPr>
          <w:rStyle w:val="Rimandonotaapidipagina"/>
        </w:rPr>
        <w:footnoteReference w:id="18"/>
      </w:r>
      <w:r>
        <w:t>, la Bce dispone di poteri significativi, relativi al</w:t>
      </w:r>
      <w:r w:rsidR="00DC21B7">
        <w:t xml:space="preserve">l’autorizzazione, </w:t>
      </w:r>
      <w:r>
        <w:t>al</w:t>
      </w:r>
      <w:r w:rsidR="00DC21B7">
        <w:t xml:space="preserve">la revoca dell’autorizzazione, </w:t>
      </w:r>
      <w:r>
        <w:t>al</w:t>
      </w:r>
      <w:r w:rsidR="00DC21B7">
        <w:t>la valutazione prudenziale delle acquisizioni e delle cessioni di partecipazioni rilevanti</w:t>
      </w:r>
      <w:r w:rsidR="00E9782D">
        <w:t>. L</w:t>
      </w:r>
      <w:r>
        <w:t>e autorità nazionali sono coinvolte in queste procedure, ma con un ruolo sussidiario e strumentale e senza delega di poteri.</w:t>
      </w:r>
    </w:p>
    <w:p w:rsidR="001A2BB8" w:rsidRDefault="001A2BB8" w:rsidP="001A2BB8">
      <w:r>
        <w:t xml:space="preserve">Nel meccanismo unico di vigilanza, quindi, </w:t>
      </w:r>
      <w:r w:rsidR="00A62EDE">
        <w:t>i poteri relativi al</w:t>
      </w:r>
      <w:r>
        <w:t xml:space="preserve">l’accesso al mercato </w:t>
      </w:r>
      <w:r w:rsidR="00A62EDE">
        <w:t>degli intermediari sono</w:t>
      </w:r>
      <w:r>
        <w:t xml:space="preserve"> condivis</w:t>
      </w:r>
      <w:r w:rsidR="00A62EDE">
        <w:t>i</w:t>
      </w:r>
      <w:r>
        <w:t xml:space="preserve"> fra </w:t>
      </w:r>
      <w:r w:rsidR="00A62EDE">
        <w:t xml:space="preserve">la </w:t>
      </w:r>
      <w:r>
        <w:t>B</w:t>
      </w:r>
      <w:r w:rsidR="00A62EDE">
        <w:t>ce</w:t>
      </w:r>
      <w:r>
        <w:t xml:space="preserve"> e </w:t>
      </w:r>
      <w:r w:rsidR="00A62EDE">
        <w:t xml:space="preserve">le </w:t>
      </w:r>
      <w:r w:rsidR="00895477">
        <w:t>autorità nazionali, m</w:t>
      </w:r>
      <w:r>
        <w:t xml:space="preserve">a </w:t>
      </w:r>
      <w:r w:rsidR="001C6896">
        <w:t xml:space="preserve">non </w:t>
      </w:r>
      <w:r>
        <w:t xml:space="preserve">in misura </w:t>
      </w:r>
      <w:r w:rsidR="001C6896">
        <w:t>paritaria</w:t>
      </w:r>
      <w:r>
        <w:t xml:space="preserve">, </w:t>
      </w:r>
      <w:r w:rsidR="00895477">
        <w:t xml:space="preserve">sia perché il perimetro dei poteri della Bce è più ampio di quello delle autorità nazionali, sia </w:t>
      </w:r>
      <w:r>
        <w:t xml:space="preserve">perché </w:t>
      </w:r>
      <w:r w:rsidR="00895477">
        <w:t xml:space="preserve">queste ultime possono esercitare, per dir così, in solitudine solo il potere di respingere le richieste di autorizzazione, mentre devono agire in collaborazione con la Bce, e in attuazione delle istruzioni di quest’ultima, per </w:t>
      </w:r>
      <w:r>
        <w:t>l</w:t>
      </w:r>
      <w:r w:rsidR="00895477">
        <w:t>’accoglimento delle istanze di autorizzazione.</w:t>
      </w:r>
    </w:p>
    <w:p w:rsidR="001A2BB8" w:rsidRDefault="00895477" w:rsidP="003B24BA">
      <w:r>
        <w:t>Il sistema si completa con la previsione di alcuni st</w:t>
      </w:r>
      <w:r w:rsidR="001A2BB8">
        <w:t xml:space="preserve">rumenti amministrativi comuni, </w:t>
      </w:r>
      <w:r>
        <w:t xml:space="preserve">volti ad assicurare una </w:t>
      </w:r>
      <w:r w:rsidR="001A2BB8">
        <w:t xml:space="preserve">stretta collaborazione </w:t>
      </w:r>
      <w:r>
        <w:t xml:space="preserve">delle autorità nazionali </w:t>
      </w:r>
      <w:r w:rsidR="001A2BB8">
        <w:t>sul piano delle prassi</w:t>
      </w:r>
      <w:r w:rsidR="001C6896">
        <w:t xml:space="preserve"> operative</w:t>
      </w:r>
      <w:r>
        <w:t xml:space="preserve">: basti citare, in proposito, il </w:t>
      </w:r>
      <w:r w:rsidRPr="003B24BA">
        <w:rPr>
          <w:i/>
        </w:rPr>
        <w:t xml:space="preserve">single </w:t>
      </w:r>
      <w:proofErr w:type="spellStart"/>
      <w:r w:rsidRPr="003B24BA">
        <w:rPr>
          <w:i/>
        </w:rPr>
        <w:t>rule</w:t>
      </w:r>
      <w:proofErr w:type="spellEnd"/>
      <w:r w:rsidRPr="003B24BA">
        <w:rPr>
          <w:i/>
        </w:rPr>
        <w:t xml:space="preserve"> book</w:t>
      </w:r>
      <w:r w:rsidR="003B24BA" w:rsidRPr="003B24BA">
        <w:rPr>
          <w:rStyle w:val="Rimandonotaapidipagina"/>
        </w:rPr>
        <w:footnoteReference w:id="19"/>
      </w:r>
      <w:r w:rsidR="003B24BA">
        <w:t xml:space="preserve"> e la costituzione di gruppi di lavoro comuni, </w:t>
      </w:r>
      <w:r w:rsidR="001C6896">
        <w:t xml:space="preserve">composti da funzionari appartenenti a diverse autorità nazionali, </w:t>
      </w:r>
      <w:r w:rsidR="003B24BA">
        <w:t xml:space="preserve">utilizzati anche </w:t>
      </w:r>
      <w:r w:rsidR="001C6896">
        <w:t xml:space="preserve">recentemente </w:t>
      </w:r>
      <w:r w:rsidR="003B24BA">
        <w:t xml:space="preserve">nella somministrazione degli </w:t>
      </w:r>
      <w:r w:rsidR="003B24BA" w:rsidRPr="003B24BA">
        <w:rPr>
          <w:i/>
        </w:rPr>
        <w:t xml:space="preserve">stress </w:t>
      </w:r>
      <w:proofErr w:type="spellStart"/>
      <w:r w:rsidR="003B24BA" w:rsidRPr="003B24BA">
        <w:rPr>
          <w:i/>
        </w:rPr>
        <w:t>tests</w:t>
      </w:r>
      <w:proofErr w:type="spellEnd"/>
      <w:r w:rsidR="00E9782D" w:rsidRPr="00E9782D">
        <w:rPr>
          <w:rStyle w:val="Rimandonotaapidipagina"/>
        </w:rPr>
        <w:footnoteReference w:id="20"/>
      </w:r>
      <w:r w:rsidR="003B24BA">
        <w:t>. Si cerca, così, di superare la competizione regolamentare fra autorità nazionali e di costruire un quadro di vigilanza comune, omogeneo e uniforme</w:t>
      </w:r>
      <w:r w:rsidR="004D40BB">
        <w:t xml:space="preserve"> anche sul piano applicativo</w:t>
      </w:r>
      <w:r w:rsidR="00F75626">
        <w:rPr>
          <w:rStyle w:val="Rimandonotaapidipagina"/>
        </w:rPr>
        <w:footnoteReference w:id="21"/>
      </w:r>
      <w:r w:rsidR="003B24BA">
        <w:t xml:space="preserve">. </w:t>
      </w:r>
    </w:p>
    <w:p w:rsidR="00D81E4F" w:rsidRDefault="0006716C" w:rsidP="003B24BA">
      <w:r>
        <w:lastRenderedPageBreak/>
        <w:t xml:space="preserve">Un </w:t>
      </w:r>
      <w:r w:rsidR="003B24BA">
        <w:t xml:space="preserve">ulteriore carattere innovativo del sistema di vigilanza e supervisione </w:t>
      </w:r>
      <w:r>
        <w:t>è il meccanismo di inversione nell’attuazione e applicazione del diritto europeo. Per tradizione consolidata, anzi costitutiva dell’ordinamento europeo, l’attuazione e l’applicazione del diritto europeo è sempre stata rimessa alle autorità nazionali, che erano quindi padrone sia del diritto nazionale, sia del diritto europeo</w:t>
      </w:r>
      <w:r w:rsidR="003B24BA">
        <w:t xml:space="preserve"> (salva la responsabilità per violazione di quest’ultimo)</w:t>
      </w:r>
      <w:r>
        <w:t>. Per la Bce si prevede, invece, oggi, che possa dare diretta applicazione</w:t>
      </w:r>
      <w:r w:rsidR="003B24BA">
        <w:t xml:space="preserve">, oltre che ai regolamenti europei, anche alle norme </w:t>
      </w:r>
      <w:r w:rsidR="00D81E4F">
        <w:t>di recepimento delle direttive</w:t>
      </w:r>
      <w:r w:rsidR="003B24BA">
        <w:t xml:space="preserve">. Il cambiamento è evidente: ci sarà </w:t>
      </w:r>
      <w:r w:rsidR="00D81E4F">
        <w:t>un unico soggetto che applica regole</w:t>
      </w:r>
      <w:r w:rsidR="003B24BA">
        <w:t xml:space="preserve"> nazionali (almeno parzialmente)</w:t>
      </w:r>
      <w:r w:rsidR="00D81E4F">
        <w:t xml:space="preserve"> diverse, mentre usualmente nel diritto europeo si hanno tante amministrazioni nazionali diverse che applicano la medesima regola europea. </w:t>
      </w:r>
    </w:p>
    <w:p w:rsidR="003B24BA" w:rsidRDefault="004B2EAC" w:rsidP="004B2EAC">
      <w:r>
        <w:t>Occorre dar conto, i</w:t>
      </w:r>
      <w:r w:rsidR="003B24BA">
        <w:t>nfine</w:t>
      </w:r>
      <w:r>
        <w:t>, della previsione di poteri</w:t>
      </w:r>
      <w:r w:rsidR="003B24BA">
        <w:t xml:space="preserve"> di salvaguardia del sistema: i poteri cautelari e i poteri sanzionatori.</w:t>
      </w:r>
    </w:p>
    <w:p w:rsidR="00D81E4F" w:rsidRDefault="004B2EAC" w:rsidP="004B2EAC">
      <w:r>
        <w:t xml:space="preserve">La </w:t>
      </w:r>
      <w:r w:rsidR="00D81E4F">
        <w:t>BCE può intervenire</w:t>
      </w:r>
      <w:r w:rsidR="003B24BA">
        <w:t>, infatti, in via preventiva,</w:t>
      </w:r>
      <w:r w:rsidR="00D81E4F">
        <w:t xml:space="preserve"> </w:t>
      </w:r>
      <w:r w:rsidR="003B24BA">
        <w:t xml:space="preserve">ove ritenga che </w:t>
      </w:r>
      <w:r w:rsidR="00D81E4F">
        <w:t>si poss</w:t>
      </w:r>
      <w:r w:rsidR="003B24BA">
        <w:t>a</w:t>
      </w:r>
      <w:r>
        <w:t xml:space="preserve"> verificar</w:t>
      </w:r>
      <w:r w:rsidR="003B24BA">
        <w:t>e</w:t>
      </w:r>
      <w:r>
        <w:t xml:space="preserve"> </w:t>
      </w:r>
      <w:r w:rsidR="00D81E4F">
        <w:t>una violazione</w:t>
      </w:r>
      <w:r w:rsidR="001C6896">
        <w:t xml:space="preserve"> delle regole</w:t>
      </w:r>
      <w:r w:rsidR="00D81E4F">
        <w:t xml:space="preserve"> nei successivi </w:t>
      </w:r>
      <w:r w:rsidR="003B24BA">
        <w:t>dodici</w:t>
      </w:r>
      <w:r w:rsidR="00D81E4F">
        <w:t xml:space="preserve"> mesi, </w:t>
      </w:r>
      <w:r w:rsidR="003B24BA">
        <w:t xml:space="preserve">adottando una gamma di misure diverse, </w:t>
      </w:r>
      <w:r>
        <w:t>quali l’imposizione di</w:t>
      </w:r>
      <w:r w:rsidR="00D81E4F">
        <w:t xml:space="preserve"> requisi</w:t>
      </w:r>
      <w:r>
        <w:t>ti patrimoniali rafforzati o di requisiti specifici in materia di liquidità, di piani di rientro</w:t>
      </w:r>
      <w:r w:rsidR="00D81E4F">
        <w:t xml:space="preserve">, </w:t>
      </w:r>
      <w:r>
        <w:t xml:space="preserve">di </w:t>
      </w:r>
      <w:r w:rsidR="00D81E4F">
        <w:t>restrizioni di attività</w:t>
      </w:r>
      <w:r>
        <w:t>, sino alla possibilità di</w:t>
      </w:r>
      <w:r w:rsidR="00D81E4F">
        <w:t xml:space="preserve"> rimuovere i membri dell’organo amministrativo</w:t>
      </w:r>
      <w:r>
        <w:t xml:space="preserve">. Non si tratta di rimedi amministrativi o di sanzioni </w:t>
      </w:r>
      <w:r w:rsidR="001A2BB8">
        <w:t>(</w:t>
      </w:r>
      <w:r>
        <w:t>tanto che non è previsto un apposito procedimento), ma di una vigilanza sui pericoli potenziali, che si esercita, quindi, a</w:t>
      </w:r>
      <w:r w:rsidR="00D81E4F">
        <w:t xml:space="preserve"> prescindere da</w:t>
      </w:r>
      <w:r>
        <w:t>ll’accertament</w:t>
      </w:r>
      <w:r w:rsidR="003B24BA">
        <w:t>o</w:t>
      </w:r>
      <w:r>
        <w:t xml:space="preserve"> di specifiche</w:t>
      </w:r>
      <w:r w:rsidR="00D81E4F">
        <w:t xml:space="preserve"> violazion</w:t>
      </w:r>
      <w:r>
        <w:t>i.</w:t>
      </w:r>
    </w:p>
    <w:p w:rsidR="00D81E4F" w:rsidRDefault="004B2EAC" w:rsidP="00D81E4F">
      <w:r>
        <w:t xml:space="preserve">La disciplina dei poteri sanzionatori </w:t>
      </w:r>
      <w:r w:rsidR="003B24BA">
        <w:t xml:space="preserve">è stata soggetta a revisione per renderla </w:t>
      </w:r>
      <w:r>
        <w:t>coerente</w:t>
      </w:r>
      <w:r w:rsidR="003B24BA">
        <w:t xml:space="preserve">, oltre che con la giurisprudenza della Corte di giustizia, anche gli </w:t>
      </w:r>
      <w:r>
        <w:t xml:space="preserve"> ormai consolidati orientamenti </w:t>
      </w:r>
      <w:r w:rsidR="003B24BA">
        <w:t>d</w:t>
      </w:r>
      <w:r>
        <w:t xml:space="preserve">ella Corte </w:t>
      </w:r>
      <w:proofErr w:type="spellStart"/>
      <w:r>
        <w:t>Edu</w:t>
      </w:r>
      <w:proofErr w:type="spellEnd"/>
      <w:r w:rsidR="003B24BA">
        <w:t xml:space="preserve">, </w:t>
      </w:r>
      <w:r>
        <w:t>prevede</w:t>
      </w:r>
      <w:r w:rsidR="003B24BA">
        <w:t>ndo</w:t>
      </w:r>
      <w:r>
        <w:t xml:space="preserve"> che l’attività </w:t>
      </w:r>
      <w:r w:rsidR="003B24BA">
        <w:t xml:space="preserve">di accertamento </w:t>
      </w:r>
      <w:r>
        <w:t xml:space="preserve">sia svolta da </w:t>
      </w:r>
      <w:r w:rsidR="00D81E4F">
        <w:t>unità investigative indipendenti</w:t>
      </w:r>
      <w:r>
        <w:t>, che siano garantiti il diritto di</w:t>
      </w:r>
      <w:r w:rsidR="00D81E4F">
        <w:t xml:space="preserve"> accesso al fascicolo</w:t>
      </w:r>
      <w:r>
        <w:t>, il</w:t>
      </w:r>
      <w:r w:rsidR="00D81E4F">
        <w:t xml:space="preserve"> diritto di partecipazione e </w:t>
      </w:r>
      <w:r w:rsidR="003B24BA">
        <w:t xml:space="preserve">il diritto </w:t>
      </w:r>
      <w:r w:rsidR="00D81E4F">
        <w:t xml:space="preserve">di contraddittorio, </w:t>
      </w:r>
      <w:r>
        <w:t xml:space="preserve">sia </w:t>
      </w:r>
      <w:r w:rsidR="00D81E4F">
        <w:t xml:space="preserve">per </w:t>
      </w:r>
      <w:r>
        <w:t xml:space="preserve">i </w:t>
      </w:r>
      <w:r w:rsidR="00D81E4F">
        <w:t>terzi interessati</w:t>
      </w:r>
      <w:r>
        <w:t>, sia per</w:t>
      </w:r>
      <w:r w:rsidR="00D81E4F">
        <w:t xml:space="preserve"> </w:t>
      </w:r>
      <w:r>
        <w:t>i</w:t>
      </w:r>
      <w:r w:rsidR="00D81E4F">
        <w:t xml:space="preserve"> terzi denuncianti</w:t>
      </w:r>
      <w:r>
        <w:t>.</w:t>
      </w:r>
    </w:p>
    <w:p w:rsidR="00E36C71" w:rsidRDefault="00E36C71" w:rsidP="006F0BCC"/>
    <w:p w:rsidR="001F2A98" w:rsidRPr="00311C6D" w:rsidRDefault="00311C6D" w:rsidP="00311C6D">
      <w:r>
        <w:t>2</w:t>
      </w:r>
      <w:r w:rsidR="005A65B7" w:rsidRPr="00311C6D">
        <w:t>.4 I poteri di vigilanza dell’</w:t>
      </w:r>
      <w:proofErr w:type="spellStart"/>
      <w:r w:rsidR="005A65B7" w:rsidRPr="00311C6D">
        <w:t>Esma</w:t>
      </w:r>
      <w:proofErr w:type="spellEnd"/>
    </w:p>
    <w:p w:rsidR="004B2EAC" w:rsidRDefault="004B2EAC" w:rsidP="001F2A98">
      <w:r>
        <w:lastRenderedPageBreak/>
        <w:t>I poteri attribuiti all</w:t>
      </w:r>
      <w:r w:rsidR="00DC1433">
        <w:t>’</w:t>
      </w:r>
      <w:proofErr w:type="spellStart"/>
      <w:r w:rsidR="00DC1433">
        <w:t>Esma</w:t>
      </w:r>
      <w:proofErr w:type="spellEnd"/>
      <w:r w:rsidR="000D06D2">
        <w:rPr>
          <w:rStyle w:val="Rimandonotaapidipagina"/>
        </w:rPr>
        <w:footnoteReference w:id="22"/>
      </w:r>
      <w:r>
        <w:t xml:space="preserve"> sono meno ampi e incisivi dei poteri attribuiti alla Bce, ma questo riflette una differenza strutturale fra la disciplina degli intermediari creditizi e la disciplina dei mercati mobiliari</w:t>
      </w:r>
      <w:r w:rsidR="001A2BB8">
        <w:t>, da</w:t>
      </w:r>
      <w:r>
        <w:t xml:space="preserve"> sempre presente sia negli ordinamenti nazionali, sia nell’ordinamento europeo.</w:t>
      </w:r>
    </w:p>
    <w:p w:rsidR="00E36C71" w:rsidRDefault="004B2EAC" w:rsidP="00E36C71">
      <w:r>
        <w:t>L’</w:t>
      </w:r>
      <w:proofErr w:type="spellStart"/>
      <w:r>
        <w:t>Es</w:t>
      </w:r>
      <w:r w:rsidR="001A2BB8">
        <w:t>ma</w:t>
      </w:r>
      <w:proofErr w:type="spellEnd"/>
      <w:r w:rsidR="001A2BB8">
        <w:t xml:space="preserve"> ha, comunque, oltre i poteri ricordati in precedenza, da esercitare </w:t>
      </w:r>
      <w:r>
        <w:t>in caso di violazione del diritto europeo, emergenza e disaccordo fra autorità nazionali, anche poteri propri</w:t>
      </w:r>
      <w:r w:rsidR="00476354">
        <w:t xml:space="preserve">, relativi a diverse fattispecie, fra le quali le più interessanti sono il controllo sulle agenzie di </w:t>
      </w:r>
      <w:r w:rsidR="00476354" w:rsidRPr="001C6896">
        <w:rPr>
          <w:i/>
        </w:rPr>
        <w:t>rating</w:t>
      </w:r>
      <w:r w:rsidR="00632E6B">
        <w:rPr>
          <w:rStyle w:val="Rimandonotaapidipagina"/>
        </w:rPr>
        <w:footnoteReference w:id="23"/>
      </w:r>
      <w:r w:rsidR="00476354">
        <w:t xml:space="preserve">, il controllo sui </w:t>
      </w:r>
      <w:proofErr w:type="spellStart"/>
      <w:r w:rsidR="001F2A98" w:rsidRPr="001C6896">
        <w:rPr>
          <w:i/>
        </w:rPr>
        <w:t>trade</w:t>
      </w:r>
      <w:proofErr w:type="spellEnd"/>
      <w:r w:rsidR="001F2A98" w:rsidRPr="001C6896">
        <w:rPr>
          <w:i/>
        </w:rPr>
        <w:t xml:space="preserve"> </w:t>
      </w:r>
      <w:proofErr w:type="spellStart"/>
      <w:r w:rsidR="001F2A98" w:rsidRPr="001C6896">
        <w:rPr>
          <w:i/>
        </w:rPr>
        <w:t>repositories</w:t>
      </w:r>
      <w:proofErr w:type="spellEnd"/>
      <w:r w:rsidR="00476354">
        <w:t xml:space="preserve"> e il potere di vietare </w:t>
      </w:r>
      <w:r w:rsidR="00A31867">
        <w:t xml:space="preserve">l’esercizio di determinate attività o </w:t>
      </w:r>
      <w:r w:rsidR="00476354">
        <w:t xml:space="preserve">la vendita di specifici prodotti in caso di minaccia per il </w:t>
      </w:r>
      <w:r w:rsidR="00E36C71">
        <w:t>mercato</w:t>
      </w:r>
      <w:r w:rsidR="00A31867">
        <w:t>.</w:t>
      </w:r>
    </w:p>
    <w:p w:rsidR="005F74CE" w:rsidRPr="006A7FC2" w:rsidRDefault="00476354" w:rsidP="00456F24">
      <w:r>
        <w:t xml:space="preserve">Per quanto riguarda le agenzie di </w:t>
      </w:r>
      <w:r w:rsidRPr="001C6896">
        <w:rPr>
          <w:i/>
        </w:rPr>
        <w:t>rating</w:t>
      </w:r>
      <w:r>
        <w:rPr>
          <w:rStyle w:val="Rimandonotaapidipagina"/>
        </w:rPr>
        <w:footnoteReference w:id="24"/>
      </w:r>
      <w:r>
        <w:t>, l’</w:t>
      </w:r>
      <w:proofErr w:type="spellStart"/>
      <w:r>
        <w:t>Esma</w:t>
      </w:r>
      <w:proofErr w:type="spellEnd"/>
      <w:r>
        <w:t xml:space="preserve"> ha competenza esclusiva in materia di registrazione e di supervisione e definisce gli standard tecnici con la Commissione</w:t>
      </w:r>
      <w:r w:rsidR="00046531">
        <w:t>, mentre alle autorità nazionali possono essere delegati specifici compiti esecutivi.</w:t>
      </w:r>
      <w:r>
        <w:t xml:space="preserve"> </w:t>
      </w:r>
      <w:r w:rsidR="00456F24">
        <w:t xml:space="preserve"> I poteri sono stati effettivamente esercitati, con l’accettazione o il rifiuto di numerose richieste di registrazione</w:t>
      </w:r>
      <w:r w:rsidR="005F74CE" w:rsidRPr="006A7FC2">
        <w:rPr>
          <w:rStyle w:val="Rimandonotaapidipagina"/>
        </w:rPr>
        <w:footnoteReference w:id="25"/>
      </w:r>
      <w:r w:rsidR="00456F24">
        <w:t xml:space="preserve"> e, in almeno un caso, anche l’instaurazione di un contenzioso sul diniego di registrazione</w:t>
      </w:r>
      <w:r w:rsidR="00456F24">
        <w:rPr>
          <w:rStyle w:val="Rimandonotaapidipagina"/>
        </w:rPr>
        <w:footnoteReference w:id="26"/>
      </w:r>
      <w:r w:rsidR="005F74CE" w:rsidRPr="006A7FC2">
        <w:t xml:space="preserve">. </w:t>
      </w:r>
      <w:r w:rsidR="00456F24">
        <w:t>A completamento di questo accentramento di poteri, si prevede che l’</w:t>
      </w:r>
      <w:proofErr w:type="spellStart"/>
      <w:r w:rsidR="00456F24">
        <w:t>Esma</w:t>
      </w:r>
      <w:proofErr w:type="spellEnd"/>
      <w:r w:rsidR="00456F24">
        <w:t xml:space="preserve"> gestisca dal 2016 una piattaforma europea, con la pubblicazione di tutti i </w:t>
      </w:r>
      <w:proofErr w:type="spellStart"/>
      <w:r w:rsidR="00456F24">
        <w:t>ratings</w:t>
      </w:r>
      <w:proofErr w:type="spellEnd"/>
      <w:r w:rsidR="00456F24">
        <w:t>.</w:t>
      </w:r>
    </w:p>
    <w:p w:rsidR="00F60729" w:rsidRDefault="00046531" w:rsidP="00E36C71">
      <w:r>
        <w:lastRenderedPageBreak/>
        <w:t>All’</w:t>
      </w:r>
      <w:proofErr w:type="spellStart"/>
      <w:r>
        <w:t>Esma</w:t>
      </w:r>
      <w:proofErr w:type="spellEnd"/>
      <w:r>
        <w:t xml:space="preserve"> spetta anche il potere sanzionatorio sulle agenzie di rating, con la collaborazione delle autorità nazionali, che sono tenute a segnalare eventuali violazioni riscontrate nel proprio ordinamento. </w:t>
      </w:r>
      <w:r w:rsidR="00476354">
        <w:t>Si tratta</w:t>
      </w:r>
      <w:r>
        <w:t>, peraltro,</w:t>
      </w:r>
      <w:r w:rsidR="00476354">
        <w:t xml:space="preserve"> di un potere sanzionatorio circoscritto in quanto, in ossequio alla c.d. dottrina </w:t>
      </w:r>
      <w:proofErr w:type="spellStart"/>
      <w:r w:rsidR="00476354">
        <w:t>Meroni</w:t>
      </w:r>
      <w:proofErr w:type="spellEnd"/>
      <w:r w:rsidR="00476354">
        <w:t xml:space="preserve"> (la cui rilevanza è </w:t>
      </w:r>
      <w:r w:rsidR="004F58B5">
        <w:t xml:space="preserve">però </w:t>
      </w:r>
      <w:r>
        <w:t>sempre più</w:t>
      </w:r>
      <w:r w:rsidR="00476354">
        <w:t xml:space="preserve"> recessiva a fronte dello sviluppo della regolazione europea in questi settori)</w:t>
      </w:r>
      <w:r w:rsidR="006D5952" w:rsidRPr="006D5952">
        <w:t>, la norma stabilisce direttamente le violazioni</w:t>
      </w:r>
      <w:r w:rsidR="00476354">
        <w:t xml:space="preserve"> e</w:t>
      </w:r>
      <w:r w:rsidR="006D5952" w:rsidRPr="006D5952">
        <w:t xml:space="preserve"> i criteri di adozione delle misure correttive</w:t>
      </w:r>
      <w:r w:rsidR="00476354">
        <w:t xml:space="preserve">. </w:t>
      </w:r>
    </w:p>
    <w:p w:rsidR="006D5952" w:rsidRDefault="00476354" w:rsidP="00E36C71">
      <w:r>
        <w:t>L’</w:t>
      </w:r>
      <w:proofErr w:type="spellStart"/>
      <w:r>
        <w:t>Esma</w:t>
      </w:r>
      <w:proofErr w:type="spellEnd"/>
      <w:r>
        <w:t xml:space="preserve"> ha,</w:t>
      </w:r>
      <w:r w:rsidR="001C6896">
        <w:t xml:space="preserve"> </w:t>
      </w:r>
      <w:r>
        <w:t>quindi, una</w:t>
      </w:r>
      <w:r w:rsidR="006D5952" w:rsidRPr="006D5952">
        <w:t xml:space="preserve"> discrezionalità limitata </w:t>
      </w:r>
      <w:r w:rsidR="001C6896">
        <w:t xml:space="preserve">perché riferita, </w:t>
      </w:r>
      <w:r w:rsidR="001C6896" w:rsidRPr="006D5952">
        <w:t xml:space="preserve">piuttosto che alla </w:t>
      </w:r>
      <w:r w:rsidR="001C6896">
        <w:t>individuazione della violazione,</w:t>
      </w:r>
      <w:r w:rsidR="001C6896" w:rsidRPr="006D5952">
        <w:t xml:space="preserve"> </w:t>
      </w:r>
      <w:r w:rsidR="006D5952" w:rsidRPr="006D5952">
        <w:t xml:space="preserve">soprattutto all’accertamento, </w:t>
      </w:r>
      <w:r w:rsidR="001C6896">
        <w:t>mediante il</w:t>
      </w:r>
      <w:r>
        <w:t xml:space="preserve"> confronto fra la fattispecie concreta e la fattispecie indicata nella norma in un apposito elenco. Fra le misure adottabili si trovano l’ordine di porre fine alla violazione, l’obbligo di emanare una comunicazione pubblica, la revoca della registrazione, il divieto temporaneo di emettere </w:t>
      </w:r>
      <w:proofErr w:type="spellStart"/>
      <w:r w:rsidRPr="001C6896">
        <w:rPr>
          <w:i/>
        </w:rPr>
        <w:t>ratin</w:t>
      </w:r>
      <w:r w:rsidR="001C6896">
        <w:rPr>
          <w:i/>
        </w:rPr>
        <w:t>gs</w:t>
      </w:r>
      <w:proofErr w:type="spellEnd"/>
      <w:r>
        <w:t xml:space="preserve">, la sospensione nella UE dell’uso dei </w:t>
      </w:r>
      <w:proofErr w:type="spellStart"/>
      <w:r w:rsidRPr="001C6896">
        <w:rPr>
          <w:i/>
        </w:rPr>
        <w:t>rating</w:t>
      </w:r>
      <w:r w:rsidR="001C6896" w:rsidRPr="001C6896">
        <w:rPr>
          <w:i/>
        </w:rPr>
        <w:t>s</w:t>
      </w:r>
      <w:proofErr w:type="spellEnd"/>
      <w:r>
        <w:t xml:space="preserve"> finchè non cessa la violazione. Tutte queste misure devono essere adottate con le garanzie tipiche di un procedimento sanzionatorio, e quindi con la separazione delle funzioni investigative da quelle deliberative, la garanzia dei diritti di accesso, partecipazione e contraddittorio.</w:t>
      </w:r>
    </w:p>
    <w:p w:rsidR="004F58B5" w:rsidRDefault="004F58B5" w:rsidP="00E36C71">
      <w:r>
        <w:t>Emerge qu</w:t>
      </w:r>
      <w:r w:rsidR="001C6896">
        <w:t>i</w:t>
      </w:r>
      <w:r w:rsidR="00FD6BE7">
        <w:t xml:space="preserve"> una differenza significativa fra Bce ed </w:t>
      </w:r>
      <w:proofErr w:type="spellStart"/>
      <w:r w:rsidR="00FD6BE7">
        <w:t>Esma</w:t>
      </w:r>
      <w:proofErr w:type="spellEnd"/>
      <w:r w:rsidR="00FD6BE7">
        <w:t>, in quanto la prima dispone di maggiore discrezionalità nell’esercizio del potere sanzionatorio specie per quanto riguarda l’individuazione della violazione e la determinazione dell’opportunità della misura, mentre l’</w:t>
      </w:r>
      <w:proofErr w:type="spellStart"/>
      <w:r w:rsidR="00FD6BE7">
        <w:t>Esma</w:t>
      </w:r>
      <w:proofErr w:type="spellEnd"/>
      <w:r w:rsidR="00FD6BE7">
        <w:t xml:space="preserve"> può, per un verso, agire solo per le violazioni previste dalla legge e, per altro verso, è obbligata a sanzionare quando accerta che la violazione si è verificata. </w:t>
      </w:r>
      <w:r>
        <w:t xml:space="preserve">A loro volta, i poteri cautelari preventivi, pur previsti, sono di minore ampiezza rispetto a quelli attribuiti alla Bce, anche se sussiste la possibilità </w:t>
      </w:r>
      <w:r w:rsidR="001C6896">
        <w:t>per l’</w:t>
      </w:r>
      <w:proofErr w:type="spellStart"/>
      <w:r w:rsidR="001C6896">
        <w:t>Esma</w:t>
      </w:r>
      <w:proofErr w:type="spellEnd"/>
      <w:r w:rsidR="001C6896">
        <w:t xml:space="preserve"> </w:t>
      </w:r>
      <w:r>
        <w:t>di chiedere ad un operatore sul mercato di adottare un piano di rimedio preventivo a fronte di un rischio temuto.</w:t>
      </w:r>
    </w:p>
    <w:p w:rsidR="001F2A98" w:rsidRDefault="00F60729" w:rsidP="00F60729">
      <w:r>
        <w:t>Per quanto riguarda, invece, i poteri di intervento s</w:t>
      </w:r>
      <w:r w:rsidR="004F58B5">
        <w:t>ulle attività e sui</w:t>
      </w:r>
      <w:r>
        <w:t xml:space="preserve"> prodotti, le </w:t>
      </w:r>
      <w:r w:rsidR="00311C6D">
        <w:t xml:space="preserve">norme attribuiscono alle autorità competenti degli </w:t>
      </w:r>
      <w:r w:rsidR="001C6896">
        <w:t>S</w:t>
      </w:r>
      <w:r w:rsidR="00311C6D">
        <w:t>tati membri e, in subordine, all’</w:t>
      </w:r>
      <w:proofErr w:type="spellStart"/>
      <w:r w:rsidR="00311C6D">
        <w:t>E</w:t>
      </w:r>
      <w:r w:rsidR="001C6896">
        <w:t>sma</w:t>
      </w:r>
      <w:proofErr w:type="spellEnd"/>
      <w:r w:rsidR="001C6896">
        <w:t xml:space="preserve"> </w:t>
      </w:r>
      <w:r w:rsidR="00311C6D">
        <w:t xml:space="preserve">il potere di “vietare temporaneamente o limitare” “la commercializzazione, la distribuzione o la vendita di determinati strumenti finanziari o di strumenti finanziari con particolari caratteristiche”, </w:t>
      </w:r>
      <w:r>
        <w:t xml:space="preserve">sulla base di </w:t>
      </w:r>
      <w:r>
        <w:lastRenderedPageBreak/>
        <w:t xml:space="preserve">una minaccia potenziale </w:t>
      </w:r>
      <w:r w:rsidR="00311C6D">
        <w:t>alla protezione degli investitori</w:t>
      </w:r>
      <w:r>
        <w:t xml:space="preserve">, oppure </w:t>
      </w:r>
      <w:r w:rsidR="00311C6D">
        <w:t>all’ordinato funzionamento e integrità del mercato</w:t>
      </w:r>
      <w:r>
        <w:t xml:space="preserve"> o, ancora, </w:t>
      </w:r>
      <w:r w:rsidR="00311C6D">
        <w:t>alla stabilità del sistema finanziario</w:t>
      </w:r>
      <w:r w:rsidR="004F58B5">
        <w:rPr>
          <w:rStyle w:val="Rimandonotaapidipagina"/>
        </w:rPr>
        <w:footnoteReference w:id="27"/>
      </w:r>
      <w:r w:rsidR="00311C6D">
        <w:t xml:space="preserve">. </w:t>
      </w:r>
    </w:p>
    <w:p w:rsidR="001F2A98" w:rsidRDefault="001F2A98" w:rsidP="00A87C4F"/>
    <w:p w:rsidR="00A87C4F" w:rsidRPr="00311C6D" w:rsidRDefault="00311C6D" w:rsidP="00A87C4F">
      <w:r w:rsidRPr="00311C6D">
        <w:t>3</w:t>
      </w:r>
      <w:r w:rsidR="00A87C4F" w:rsidRPr="00311C6D">
        <w:t xml:space="preserve">. </w:t>
      </w:r>
      <w:r w:rsidR="005A65B7" w:rsidRPr="00311C6D">
        <w:t>L</w:t>
      </w:r>
      <w:r w:rsidR="00DC1433" w:rsidRPr="00311C6D">
        <w:t>a natura dei poteri</w:t>
      </w:r>
      <w:r w:rsidR="005A65B7" w:rsidRPr="00311C6D">
        <w:t xml:space="preserve"> attribuiti alle autorità di controllo</w:t>
      </w:r>
    </w:p>
    <w:p w:rsidR="00D301DF" w:rsidRPr="00D301DF" w:rsidRDefault="00D301DF" w:rsidP="00D301DF">
      <w:r w:rsidRPr="00D301DF">
        <w:t>Dall’analisi dei poteri di regolazione, vigilanza e supervisione emerge un ruolo nuovo delle autorità di regolazione nazionali, che operano come membri e parti di un sistema sempre meno composito e sempre più integrato. Le autorità europee sono conformate, in ragione sia delle regole di struttura che dei poteri attribuiti, come apparati centrali che integrano al loro interno le amministrazioni nazionali</w:t>
      </w:r>
      <w:r w:rsidRPr="00D301DF">
        <w:rPr>
          <w:rStyle w:val="Rimandonotaapidipagina"/>
        </w:rPr>
        <w:footnoteReference w:id="28"/>
      </w:r>
      <w:r w:rsidRPr="00D301DF">
        <w:t>.</w:t>
      </w:r>
    </w:p>
    <w:p w:rsidR="00D301DF" w:rsidRDefault="00FD6BE7" w:rsidP="00A87C4F">
      <w:r>
        <w:t>Qu</w:t>
      </w:r>
      <w:r w:rsidR="00D301DF">
        <w:t>esta nuova dimensione è confermata se si guarda all’estensione e all’intensità di questi poteri nel loro complesso.</w:t>
      </w:r>
    </w:p>
    <w:p w:rsidR="00D301DF" w:rsidRDefault="00D301DF" w:rsidP="00A87C4F">
      <w:r>
        <w:t xml:space="preserve">Quanto all’area ricoperta, i poteri attribuiti alle autorità europee hanno, allo stesso tempo, i caratteri di completezza ed esaustività, da una parte, e il carattere della flessibilità, dall’altra. </w:t>
      </w:r>
    </w:p>
    <w:p w:rsidR="00D301DF" w:rsidRDefault="00D301DF" w:rsidP="00A87C4F">
      <w:r>
        <w:t xml:space="preserve">Il novero dei poteri attribuiti copre, infatti, tanto l’area della regolazione, quanto l’area della vigilanza e della supervisione e, per ambedue, impone il superamento della precedente frammentazione </w:t>
      </w:r>
      <w:r w:rsidR="00CD70E6">
        <w:t>nell</w:t>
      </w:r>
      <w:r>
        <w:t xml:space="preserve">’interpretazione e nell’applicazione delle regole, a favore di una nuova ed inedita uniformità. </w:t>
      </w:r>
      <w:r w:rsidR="00CD70E6">
        <w:t xml:space="preserve">E’ presto per dire se sia in corso solo una variazione o, invece, una vera e propria mutazione del sistema. Si tratta, infatti, solo di </w:t>
      </w:r>
      <w:r>
        <w:t>una tendenza</w:t>
      </w:r>
      <w:r w:rsidR="00CD70E6">
        <w:t xml:space="preserve"> evolutiva</w:t>
      </w:r>
      <w:r>
        <w:t>, che presenta peraltro gradazione diversa a seconda dei settori, ma sembra costituire il modello “a tendere” per la supervisione dei mercati finanziari.</w:t>
      </w:r>
    </w:p>
    <w:p w:rsidR="00FD6BE7" w:rsidRDefault="00D97874" w:rsidP="00D97874">
      <w:r>
        <w:t xml:space="preserve">Altrettanto rilevante appare il carattere della flessibilità, derivante direttamente dalle norme </w:t>
      </w:r>
      <w:r w:rsidR="00FD6BE7">
        <w:t>che collegano l’ampiezza del potere alla finalità perseguita. La clausola “ogniqualvolta” (si crei una situazione di emergenza, o ci sia una violazione, o ci sia un pericolo) consente</w:t>
      </w:r>
      <w:r>
        <w:t xml:space="preserve">, infatti, </w:t>
      </w:r>
      <w:r w:rsidR="00FD6BE7">
        <w:t>di estendere l’ambito dei poteri oltre la stretta clausola di attribuzione</w:t>
      </w:r>
      <w:r>
        <w:t xml:space="preserve"> e, almeno potenzialmente, di creare </w:t>
      </w:r>
      <w:r>
        <w:lastRenderedPageBreak/>
        <w:t xml:space="preserve">nuove regole secondarie e nuove prassi applicative e di indirizzare anche per il futuro l’attività delle autorità nazionali ed i comportamenti dei partecipanti al mercato </w:t>
      </w:r>
      <w:r w:rsidR="00FD6BE7">
        <w:t>.</w:t>
      </w:r>
    </w:p>
    <w:p w:rsidR="003531F5" w:rsidRDefault="00D97874" w:rsidP="001F2A98">
      <w:r>
        <w:t xml:space="preserve">Quanto alla intensità e alla intrusività del complesso di poteri sinora esaminati, emerge con chiarezza </w:t>
      </w:r>
      <w:r w:rsidR="00B20D62">
        <w:t xml:space="preserve">la prevalenza di un </w:t>
      </w:r>
      <w:r w:rsidR="003531F5">
        <w:t>approccio sostanzialista</w:t>
      </w:r>
      <w:r w:rsidR="00B20D62">
        <w:t xml:space="preserve"> rispetto ad un approccio formalista. </w:t>
      </w:r>
    </w:p>
    <w:p w:rsidR="001F2A98" w:rsidRDefault="00B20D62" w:rsidP="001F2A98">
      <w:r>
        <w:t xml:space="preserve">Un esempio </w:t>
      </w:r>
      <w:r w:rsidR="00D97874">
        <w:t>evidente è fornito, in proposito, da</w:t>
      </w:r>
      <w:r>
        <w:t>l criterio di individuazione dei d</w:t>
      </w:r>
      <w:r w:rsidR="001F2A98">
        <w:t>estinatari della regolazione</w:t>
      </w:r>
      <w:r>
        <w:t xml:space="preserve"> nel settore creditizio. L’adozione del criterio della </w:t>
      </w:r>
      <w:r w:rsidR="001F2A98">
        <w:t>“significa</w:t>
      </w:r>
      <w:r>
        <w:t>tività</w:t>
      </w:r>
      <w:r w:rsidR="001F2A98">
        <w:t xml:space="preserve">” </w:t>
      </w:r>
      <w:r>
        <w:t xml:space="preserve">dell’intermediario è </w:t>
      </w:r>
      <w:r w:rsidR="00D97874">
        <w:t xml:space="preserve">innanzitutto </w:t>
      </w:r>
      <w:r>
        <w:t xml:space="preserve">una risposta al fenomeno dello </w:t>
      </w:r>
      <w:proofErr w:type="spellStart"/>
      <w:r w:rsidRPr="00D97874">
        <w:rPr>
          <w:i/>
        </w:rPr>
        <w:t>shadow</w:t>
      </w:r>
      <w:proofErr w:type="spellEnd"/>
      <w:r w:rsidRPr="00D97874">
        <w:rPr>
          <w:i/>
        </w:rPr>
        <w:t xml:space="preserve"> banking</w:t>
      </w:r>
      <w:r>
        <w:t>: alla qualificazione formale dell’intermediario si preferisce il criterio del suo rilievo sostanziale per il sistema e per lo specifico paese.</w:t>
      </w:r>
    </w:p>
    <w:p w:rsidR="003531F5" w:rsidRDefault="00B20D62" w:rsidP="003531F5">
      <w:r>
        <w:t xml:space="preserve">Il sistema di </w:t>
      </w:r>
      <w:r w:rsidR="003531F5">
        <w:t>supervisione</w:t>
      </w:r>
      <w:r>
        <w:t xml:space="preserve"> </w:t>
      </w:r>
      <w:r w:rsidR="00D97874">
        <w:t>dispone</w:t>
      </w:r>
      <w:r>
        <w:t>, inoltr</w:t>
      </w:r>
      <w:r w:rsidR="00D97874">
        <w:t>e</w:t>
      </w:r>
      <w:r>
        <w:t xml:space="preserve">, </w:t>
      </w:r>
      <w:r w:rsidR="00D97874">
        <w:t>di</w:t>
      </w:r>
      <w:r>
        <w:t xml:space="preserve"> un’ampia gamma di </w:t>
      </w:r>
      <w:r w:rsidR="003531F5">
        <w:t>strumenti autoritativi</w:t>
      </w:r>
      <w:r>
        <w:t xml:space="preserve">, quali </w:t>
      </w:r>
      <w:r w:rsidR="003531F5">
        <w:t>autor</w:t>
      </w:r>
      <w:r w:rsidR="00D81E4F">
        <w:t>izzazion</w:t>
      </w:r>
      <w:r>
        <w:t>i</w:t>
      </w:r>
      <w:r w:rsidR="00D81E4F">
        <w:t>, licenz</w:t>
      </w:r>
      <w:r>
        <w:t>e</w:t>
      </w:r>
      <w:r w:rsidR="00D81E4F">
        <w:t>, controlli, rimedi, misure specifiche, sanzioni</w:t>
      </w:r>
      <w:r w:rsidR="00D97874">
        <w:t xml:space="preserve">, ai quali possono aggiungersi misure e rimedi </w:t>
      </w:r>
      <w:r w:rsidR="003531F5">
        <w:t>cautelari o comunque di previsione e prevenzione del rischio</w:t>
      </w:r>
      <w:r>
        <w:t>.</w:t>
      </w:r>
    </w:p>
    <w:p w:rsidR="00D97874" w:rsidRDefault="00B20D62" w:rsidP="003531F5">
      <w:r>
        <w:t xml:space="preserve">Non si tratta, quindi, di un pieno ritorno alla </w:t>
      </w:r>
      <w:r w:rsidR="003531F5">
        <w:t xml:space="preserve">regolazione conformativa </w:t>
      </w:r>
      <w:r w:rsidRPr="00D97874">
        <w:rPr>
          <w:i/>
        </w:rPr>
        <w:t>d’</w:t>
      </w:r>
      <w:proofErr w:type="spellStart"/>
      <w:r w:rsidRPr="00D97874">
        <w:rPr>
          <w:i/>
        </w:rPr>
        <w:t>antan</w:t>
      </w:r>
      <w:proofErr w:type="spellEnd"/>
      <w:r>
        <w:t>, che prevedeva un controllo pervasivo</w:t>
      </w:r>
      <w:r w:rsidR="00D97874">
        <w:t xml:space="preserve"> e preclusivo</w:t>
      </w:r>
      <w:r>
        <w:t xml:space="preserve"> </w:t>
      </w:r>
      <w:r w:rsidR="00C05A9C" w:rsidRPr="00D97874">
        <w:rPr>
          <w:i/>
        </w:rPr>
        <w:t>ex ante</w:t>
      </w:r>
      <w:r>
        <w:t xml:space="preserve"> sia sull’intermediario, sia sulle sue attività, ma siamo di fronte in ogni caso ad una regolazione</w:t>
      </w:r>
      <w:r w:rsidR="00D97874">
        <w:t xml:space="preserve"> di natura prescrittiva</w:t>
      </w:r>
      <w:r w:rsidR="00CD70E6">
        <w:t xml:space="preserve"> e</w:t>
      </w:r>
      <w:r>
        <w:t xml:space="preserve"> all’attribuzione </w:t>
      </w:r>
      <w:r w:rsidR="003531F5">
        <w:t xml:space="preserve"> </w:t>
      </w:r>
      <w:r>
        <w:t xml:space="preserve">della </w:t>
      </w:r>
      <w:r w:rsidR="003531F5">
        <w:t>capacità di intervento non solo di fronte a violazion</w:t>
      </w:r>
      <w:r>
        <w:t>i</w:t>
      </w:r>
      <w:r w:rsidR="003531F5">
        <w:t xml:space="preserve"> </w:t>
      </w:r>
      <w:r>
        <w:t xml:space="preserve">delle </w:t>
      </w:r>
      <w:r w:rsidR="003531F5">
        <w:t>regol</w:t>
      </w:r>
      <w:r>
        <w:t>e</w:t>
      </w:r>
      <w:r w:rsidR="003531F5">
        <w:t>, ma di fronte a</w:t>
      </w:r>
      <w:r>
        <w:t>l</w:t>
      </w:r>
      <w:r w:rsidR="003531F5">
        <w:t xml:space="preserve"> rischio</w:t>
      </w:r>
      <w:r w:rsidR="00D97874">
        <w:t xml:space="preserve"> anche solo potenziale di violazione o comunque di situazioni di crisi</w:t>
      </w:r>
      <w:r>
        <w:t xml:space="preserve">. </w:t>
      </w:r>
      <w:r w:rsidR="00D97874">
        <w:t>Il</w:t>
      </w:r>
      <w:r>
        <w:t xml:space="preserve"> potere conformativo</w:t>
      </w:r>
      <w:r w:rsidR="00D97874">
        <w:t xml:space="preserve"> non è più riferito, come accadeva ad esempio per la legge bancaria italiana prima dell’armonizzazione europea,</w:t>
      </w:r>
      <w:r>
        <w:t xml:space="preserve"> all’intermediario o a </w:t>
      </w:r>
      <w:r w:rsidR="00D97874">
        <w:t>tipi di</w:t>
      </w:r>
      <w:r>
        <w:t xml:space="preserve"> attività, ma </w:t>
      </w:r>
      <w:r w:rsidR="00D97874">
        <w:t xml:space="preserve">piuttosto </w:t>
      </w:r>
      <w:r>
        <w:t xml:space="preserve">a specifiche circostanze, previste in termini generali dalle norme e accertate </w:t>
      </w:r>
      <w:r w:rsidR="00D97874">
        <w:t>mediante la loro discrezionalità tecnica dalle autorità di regolazione e di controllo.</w:t>
      </w:r>
    </w:p>
    <w:p w:rsidR="003531F5" w:rsidRDefault="00D97874" w:rsidP="003531F5">
      <w:r>
        <w:t>Il ricorrere di quelle circostanze consente l’attivazione di un potere di intervento che</w:t>
      </w:r>
      <w:r w:rsidR="00736A05">
        <w:t xml:space="preserve"> </w:t>
      </w:r>
      <w:r>
        <w:t>può conformare in misura significativa sia la struttura e l’attività di un singolo intermediario finanziario, sia un’intera categoria di attività o di prodotti, sia un segmento – funzionale o territoriale – del mercato finanziario europeo.</w:t>
      </w:r>
    </w:p>
    <w:p w:rsidR="00D97874" w:rsidRDefault="00D97874" w:rsidP="003531F5">
      <w:r>
        <w:lastRenderedPageBreak/>
        <w:t>Il fattore cruciale per la determinazione dei presupposti legittimanti dell’intervento è la presenza di un rischio e, in particolare, di un rischio almeno potenzialmente sistemico.</w:t>
      </w:r>
    </w:p>
    <w:p w:rsidR="00C05A9C" w:rsidRDefault="00F37218" w:rsidP="003531F5">
      <w:r>
        <w:t xml:space="preserve">Sarà necessario, quindi, </w:t>
      </w:r>
      <w:r w:rsidR="00E93670">
        <w:t xml:space="preserve">disporre di </w:t>
      </w:r>
      <w:r w:rsidR="00C05A9C">
        <w:t xml:space="preserve">strumenti di analisi del rischio </w:t>
      </w:r>
      <w:r>
        <w:t xml:space="preserve">sempre più </w:t>
      </w:r>
      <w:r w:rsidR="00E93670">
        <w:t xml:space="preserve">affinati e </w:t>
      </w:r>
      <w:r>
        <w:t>affidabili</w:t>
      </w:r>
      <w:r w:rsidR="00E93670">
        <w:t xml:space="preserve">, per </w:t>
      </w:r>
      <w:r>
        <w:t xml:space="preserve">governare la </w:t>
      </w:r>
      <w:r w:rsidR="00E93670">
        <w:t xml:space="preserve">discrezionalità nell’adozione di misure e rimedi correttivi. </w:t>
      </w:r>
    </w:p>
    <w:p w:rsidR="003531F5" w:rsidRDefault="00F37218" w:rsidP="00F37218">
      <w:r>
        <w:t>I caratteri inediti di questo complesso di poteri nell’ordinamento europeo determinano, infine, una accentuazione de</w:t>
      </w:r>
      <w:r w:rsidR="003326E2">
        <w:t>i</w:t>
      </w:r>
      <w:r>
        <w:t xml:space="preserve"> profili di responsabilità delle autorità di vigilanza per le attività poste in essere. Si </w:t>
      </w:r>
      <w:r w:rsidR="0019354C">
        <w:t>moltiplicano</w:t>
      </w:r>
      <w:r>
        <w:t>, non a caso,</w:t>
      </w:r>
      <w:r w:rsidR="0019354C">
        <w:t xml:space="preserve"> le norme sulla responsabilità</w:t>
      </w:r>
      <w:r w:rsidR="00E93670">
        <w:t xml:space="preserve"> e sulla </w:t>
      </w:r>
      <w:proofErr w:type="spellStart"/>
      <w:r w:rsidR="00E93670" w:rsidRPr="00F37218">
        <w:rPr>
          <w:i/>
        </w:rPr>
        <w:t>accountability</w:t>
      </w:r>
      <w:proofErr w:type="spellEnd"/>
      <w:r>
        <w:t xml:space="preserve"> delle autorità</w:t>
      </w:r>
      <w:r w:rsidR="00E93670">
        <w:rPr>
          <w:rStyle w:val="Rimandonotaapidipagina"/>
        </w:rPr>
        <w:footnoteReference w:id="29"/>
      </w:r>
      <w:r>
        <w:t>, prevedendo anche limiti e riserve</w:t>
      </w:r>
      <w:r w:rsidR="00E93670">
        <w:t xml:space="preserve">. </w:t>
      </w:r>
      <w:r>
        <w:t>N</w:t>
      </w:r>
      <w:r w:rsidR="0019354C">
        <w:t xml:space="preserve">ella direttiva sul meccanismo di risoluzione, </w:t>
      </w:r>
      <w:r>
        <w:t xml:space="preserve">per esempio, </w:t>
      </w:r>
      <w:r w:rsidR="0019354C">
        <w:t>è stato necessario specificare che l’autorità di risoluzione non può essere considerata amministratore ombra o amministratore di fatto dell’ente che, in effetti, amministra</w:t>
      </w:r>
      <w:r w:rsidR="00E93670">
        <w:t>.</w:t>
      </w:r>
    </w:p>
    <w:p w:rsidR="00F073D9" w:rsidRDefault="00F073D9" w:rsidP="00A87C4F"/>
    <w:p w:rsidR="00F073D9" w:rsidRPr="00311C6D" w:rsidRDefault="00311C6D" w:rsidP="00A87C4F">
      <w:r w:rsidRPr="00311C6D">
        <w:t>4</w:t>
      </w:r>
      <w:r w:rsidR="005A65B7" w:rsidRPr="00311C6D">
        <w:t>. La tutela fra procedimento e processo. Una giurisdizione mista</w:t>
      </w:r>
    </w:p>
    <w:p w:rsidR="001C6896" w:rsidRDefault="00844759" w:rsidP="00F073D9">
      <w:r>
        <w:t>Sul piano della tutela procedimentale si è già visto come l’esercizio de</w:t>
      </w:r>
      <w:r w:rsidR="003326E2">
        <w:t>l</w:t>
      </w:r>
      <w:r>
        <w:t xml:space="preserve"> potere sanzionatorio sia stato rivisto </w:t>
      </w:r>
      <w:r w:rsidR="003326E2">
        <w:t>i</w:t>
      </w:r>
      <w:r>
        <w:t xml:space="preserve">n modo da essere conforme alla giurisprudenza della Corte di giustizia e della </w:t>
      </w:r>
      <w:proofErr w:type="spellStart"/>
      <w:r>
        <w:t>Cedu</w:t>
      </w:r>
      <w:proofErr w:type="spellEnd"/>
      <w:r>
        <w:t xml:space="preserve"> in materia, con la distinzione fra l’ufficio titolare del potere di investigazione e l’ufficio titolare del potere di irrogare la sanzione e il riconoscimento dei diritti di difesa, di partecipazione, di contraddittorio e di accesso.</w:t>
      </w:r>
    </w:p>
    <w:p w:rsidR="00C067EE" w:rsidRDefault="00C067EE" w:rsidP="00F073D9">
      <w:r>
        <w:t>Più problematica è l</w:t>
      </w:r>
      <w:r w:rsidR="0037742F">
        <w:t>’</w:t>
      </w:r>
      <w:r>
        <w:t>individuazione di garanzie per l’esercizio di poteri che, pur potendo incidere significativamente e restrittivamente sulla sfera giuridica dei destinatari, non sono proc</w:t>
      </w:r>
      <w:r w:rsidR="003326E2">
        <w:t>edimentalizzati, come accade, ad</w:t>
      </w:r>
      <w:r>
        <w:t xml:space="preserve"> esempio, </w:t>
      </w:r>
      <w:r>
        <w:lastRenderedPageBreak/>
        <w:t>per l’imposizione di piani di rientro o di requisiti patrimoniali rafforzati. La natura cautelare di questi poteri presuppone che le misure conseguenti siano adottate in via d’urgenza o comunque celermente, a tutela della stabilità de</w:t>
      </w:r>
      <w:r w:rsidR="003326E2">
        <w:t>l</w:t>
      </w:r>
      <w:r>
        <w:t xml:space="preserve"> sistema, ma in assenza di tutele procedimentali l’unico strumento attivabile sembra essere la tutela giurisdizionale </w:t>
      </w:r>
      <w:r w:rsidRPr="00C067EE">
        <w:rPr>
          <w:i/>
        </w:rPr>
        <w:t>ex post</w:t>
      </w:r>
      <w:r>
        <w:t>.</w:t>
      </w:r>
    </w:p>
    <w:p w:rsidR="00C067EE" w:rsidRDefault="00C067EE" w:rsidP="00F073D9">
      <w:r>
        <w:t>I rimedi a disposizione, in generale, dei soggetti incisi dall’esercizio di poteri di supervisione o di vigilanza possono avere natura amministrativa o giurisdizionale.</w:t>
      </w:r>
    </w:p>
    <w:p w:rsidR="00A87C4F" w:rsidRDefault="006149E2" w:rsidP="00F073D9">
      <w:r>
        <w:t>L</w:t>
      </w:r>
      <w:r w:rsidRPr="00A63FFE">
        <w:t>a</w:t>
      </w:r>
      <w:r>
        <w:t xml:space="preserve"> eventuale non</w:t>
      </w:r>
      <w:r w:rsidRPr="00A63FFE">
        <w:t xml:space="preserve"> conformità procedural</w:t>
      </w:r>
      <w:r>
        <w:t>e</w:t>
      </w:r>
      <w:r w:rsidRPr="00A63FFE">
        <w:t xml:space="preserve"> </w:t>
      </w:r>
      <w:r>
        <w:t>o</w:t>
      </w:r>
      <w:r w:rsidRPr="00A63FFE">
        <w:t xml:space="preserve"> sostanziale dell</w:t>
      </w:r>
      <w:r>
        <w:t>e</w:t>
      </w:r>
      <w:r w:rsidRPr="00A63FFE">
        <w:t xml:space="preserve"> decisioni </w:t>
      </w:r>
      <w:r>
        <w:t xml:space="preserve">delle autorità di vigilanza </w:t>
      </w:r>
      <w:r w:rsidRPr="00A63FFE">
        <w:t>rispetto ai regol</w:t>
      </w:r>
      <w:r>
        <w:t>a</w:t>
      </w:r>
      <w:r w:rsidRPr="00A63FFE">
        <w:t>menti</w:t>
      </w:r>
      <w:r>
        <w:t xml:space="preserve"> può essere fatta valere,</w:t>
      </w:r>
      <w:r w:rsidR="00B51327">
        <w:t xml:space="preserve"> a seconda dei casi</w:t>
      </w:r>
      <w:r>
        <w:t>, dinanzi a</w:t>
      </w:r>
      <w:r w:rsidR="00F073D9" w:rsidRPr="006149E2">
        <w:t xml:space="preserve">l </w:t>
      </w:r>
      <w:r w:rsidR="00A63FFE" w:rsidRPr="00736A05">
        <w:t xml:space="preserve">Joint </w:t>
      </w:r>
      <w:r w:rsidR="00F073D9" w:rsidRPr="00736A05">
        <w:t>Board of Appeal</w:t>
      </w:r>
      <w:r w:rsidR="00B51327">
        <w:t>,</w:t>
      </w:r>
      <w:r w:rsidR="00A63FFE" w:rsidRPr="006149E2">
        <w:t xml:space="preserve"> </w:t>
      </w:r>
      <w:r w:rsidR="00B51327">
        <w:t>alle Commissioni di ricorso competenti per gli atti dell’</w:t>
      </w:r>
      <w:proofErr w:type="spellStart"/>
      <w:r w:rsidR="00B51327">
        <w:t>Eba</w:t>
      </w:r>
      <w:proofErr w:type="spellEnd"/>
      <w:r w:rsidR="00B51327">
        <w:t xml:space="preserve"> e per gli atti dell’autorità di risoluzione e </w:t>
      </w:r>
      <w:r w:rsidRPr="00736A05">
        <w:t>al</w:t>
      </w:r>
      <w:r w:rsidR="00A63FFE" w:rsidRPr="00736A05">
        <w:t>l</w:t>
      </w:r>
      <w:r w:rsidR="00A63FFE" w:rsidRPr="00736A05">
        <w:rPr>
          <w:i/>
        </w:rPr>
        <w:t>’</w:t>
      </w:r>
      <w:proofErr w:type="spellStart"/>
      <w:r w:rsidR="00A63FFE" w:rsidRPr="00736A05">
        <w:rPr>
          <w:i/>
        </w:rPr>
        <w:t>Administrative</w:t>
      </w:r>
      <w:proofErr w:type="spellEnd"/>
      <w:r w:rsidR="00A63FFE" w:rsidRPr="00736A05">
        <w:rPr>
          <w:i/>
        </w:rPr>
        <w:t xml:space="preserve"> Board of </w:t>
      </w:r>
      <w:proofErr w:type="spellStart"/>
      <w:r w:rsidRPr="00736A05">
        <w:rPr>
          <w:i/>
        </w:rPr>
        <w:t>R</w:t>
      </w:r>
      <w:r w:rsidR="00A63FFE" w:rsidRPr="00736A05">
        <w:rPr>
          <w:i/>
        </w:rPr>
        <w:t>eview</w:t>
      </w:r>
      <w:proofErr w:type="spellEnd"/>
      <w:r w:rsidR="00A63FFE" w:rsidRPr="006149E2">
        <w:t xml:space="preserve"> per</w:t>
      </w:r>
      <w:r>
        <w:t xml:space="preserve"> la</w:t>
      </w:r>
      <w:r w:rsidR="00A63FFE" w:rsidRPr="006149E2">
        <w:t xml:space="preserve"> B</w:t>
      </w:r>
      <w:r>
        <w:t>ce</w:t>
      </w:r>
      <w:r w:rsidR="00952FF2">
        <w:t xml:space="preserve">. I </w:t>
      </w:r>
      <w:proofErr w:type="spellStart"/>
      <w:r w:rsidR="00952FF2" w:rsidRPr="00736A05">
        <w:rPr>
          <w:i/>
        </w:rPr>
        <w:t>B</w:t>
      </w:r>
      <w:r w:rsidR="003326E2" w:rsidRPr="00736A05">
        <w:rPr>
          <w:i/>
        </w:rPr>
        <w:t>o</w:t>
      </w:r>
      <w:r w:rsidR="00952FF2" w:rsidRPr="00736A05">
        <w:rPr>
          <w:i/>
        </w:rPr>
        <w:t>ards</w:t>
      </w:r>
      <w:proofErr w:type="spellEnd"/>
      <w:r w:rsidR="00952FF2">
        <w:t xml:space="preserve"> e le Commissioni</w:t>
      </w:r>
      <w:r w:rsidR="00B51327">
        <w:t>, tenuti peraltro a riesaminare le decisioni nel rispetto del margine di discrezionalità attribuito alle autorità, specie con riguardo all’opportunità di adottare la decisione</w:t>
      </w:r>
      <w:r w:rsidR="003326E2">
        <w:t>, devono</w:t>
      </w:r>
      <w:r w:rsidR="00952FF2">
        <w:t xml:space="preserve"> rimettere all’autorità competente l’eventuale riformulazione del provvedimento</w:t>
      </w:r>
      <w:r>
        <w:rPr>
          <w:rStyle w:val="Rimandonotaapidipagina"/>
        </w:rPr>
        <w:footnoteReference w:id="30"/>
      </w:r>
      <w:r>
        <w:t>. Si tratta di rimedi simili ai ricorsi amministrativi, ormai largamente superati negli ordinamenti nazionali, che sembrano però rivivere nell’ordinamento europeo, specie in relazione a decisioni ad alto tasso di tecnicità.</w:t>
      </w:r>
      <w:r w:rsidR="00B51327">
        <w:t xml:space="preserve"> </w:t>
      </w:r>
      <w:r>
        <w:t xml:space="preserve"> La richiesta di riesame non preclude, peraltro, il ricorso alla tutela giurisdizionale, assicurata altresì nei confronti delle pronunce de</w:t>
      </w:r>
      <w:r w:rsidR="00B51327">
        <w:t>l</w:t>
      </w:r>
      <w:r>
        <w:t xml:space="preserve"> Board</w:t>
      </w:r>
      <w:r w:rsidR="00B51327">
        <w:t>, almeno per quanto riguarda la Bce, mentre opera come filtro preliminare per quanto riguarda l’impugnazione di provvedimenti dell’</w:t>
      </w:r>
      <w:proofErr w:type="spellStart"/>
      <w:r w:rsidR="00B51327">
        <w:t>Eba</w:t>
      </w:r>
      <w:proofErr w:type="spellEnd"/>
      <w:r w:rsidR="00B51327">
        <w:t xml:space="preserve"> e dell’autorità di risoluzione</w:t>
      </w:r>
      <w:r w:rsidR="00952FF2">
        <w:rPr>
          <w:rStyle w:val="Rimandonotaapidipagina"/>
        </w:rPr>
        <w:footnoteReference w:id="31"/>
      </w:r>
      <w:r>
        <w:t>.</w:t>
      </w:r>
    </w:p>
    <w:p w:rsidR="006149E2" w:rsidRDefault="006149E2" w:rsidP="00F073D9">
      <w:r>
        <w:t>La tutela giurisdizionale presenta, a sua volta, caratteristiche proprie, in ragione di alcune limitazioni o della sovrapposizione di competenze fra giurisdizioni appartenenti ad ordinamenti diversi.</w:t>
      </w:r>
    </w:p>
    <w:p w:rsidR="002D11C1" w:rsidRDefault="00C03492" w:rsidP="00C03492">
      <w:pPr>
        <w:rPr>
          <w:rFonts w:cs="EUAlbertina"/>
          <w:color w:val="000000"/>
        </w:rPr>
      </w:pPr>
      <w:r>
        <w:lastRenderedPageBreak/>
        <w:t xml:space="preserve">Un esempio evidente del primo profilo si trova nella disciplina del </w:t>
      </w:r>
      <w:r w:rsidR="001F2A98">
        <w:t>meccanismo di risoluzione</w:t>
      </w:r>
      <w:r>
        <w:t>, ove si scoraggia espressamente il giudice dal sospendere la decisione dell’autorità competente, richiamando una presunzione relativa di contrarietà all’interesse pubblico di un provvedimento cautelare del giudice. Al medesimo giudice si chiede di ri</w:t>
      </w:r>
      <w:r w:rsidR="002D11C1" w:rsidRPr="00C05A9C">
        <w:rPr>
          <w:rFonts w:cs="EUAlbertina"/>
          <w:color w:val="000000"/>
        </w:rPr>
        <w:t xml:space="preserve">correre </w:t>
      </w:r>
      <w:r w:rsidR="002D11C1" w:rsidRPr="00C03492">
        <w:rPr>
          <w:rFonts w:cs="EUAlbertina"/>
          <w:i/>
          <w:color w:val="000000"/>
        </w:rPr>
        <w:t>“alle valutazioni economiche complesse dei fatti effettuate dall’autorità di risoluzione quale base per la propria valutazione”</w:t>
      </w:r>
      <w:r>
        <w:rPr>
          <w:rFonts w:cs="EUAlbertina"/>
          <w:color w:val="000000"/>
        </w:rPr>
        <w:t xml:space="preserve"> e si prevede che </w:t>
      </w:r>
      <w:r w:rsidR="002D11C1" w:rsidRPr="00C05A9C">
        <w:rPr>
          <w:rFonts w:cs="EUAlbertina"/>
          <w:color w:val="000000"/>
        </w:rPr>
        <w:t>l’annullamento della decisione p</w:t>
      </w:r>
      <w:r>
        <w:rPr>
          <w:rFonts w:cs="EUAlbertina"/>
          <w:color w:val="000000"/>
        </w:rPr>
        <w:t xml:space="preserve">ossa </w:t>
      </w:r>
      <w:r w:rsidR="002D11C1" w:rsidRPr="00C05A9C">
        <w:rPr>
          <w:rFonts w:cs="EUAlbertina"/>
          <w:color w:val="000000"/>
        </w:rPr>
        <w:t xml:space="preserve">essere limitato alla compensazione </w:t>
      </w:r>
      <w:r>
        <w:rPr>
          <w:rFonts w:cs="EUAlbertina"/>
          <w:color w:val="000000"/>
        </w:rPr>
        <w:t xml:space="preserve">dovuta </w:t>
      </w:r>
      <w:r w:rsidR="002D11C1" w:rsidRPr="00C05A9C">
        <w:rPr>
          <w:rFonts w:cs="EUAlbertina"/>
          <w:color w:val="000000"/>
        </w:rPr>
        <w:t xml:space="preserve">al ricorrente, </w:t>
      </w:r>
      <w:r>
        <w:rPr>
          <w:rFonts w:cs="EUAlbertina"/>
          <w:color w:val="000000"/>
        </w:rPr>
        <w:t>ma non incida</w:t>
      </w:r>
      <w:r w:rsidR="002D11C1" w:rsidRPr="00C05A9C">
        <w:rPr>
          <w:rFonts w:cs="EUAlbertina"/>
          <w:color w:val="000000"/>
        </w:rPr>
        <w:t xml:space="preserve"> su atti amministrativi o transazione conclusi dall’autorità di risoluzione a seguito della decisione, </w:t>
      </w:r>
      <w:r>
        <w:rPr>
          <w:rFonts w:cs="EUAlbertina"/>
          <w:color w:val="000000"/>
        </w:rPr>
        <w:t xml:space="preserve">anche al fine di </w:t>
      </w:r>
      <w:r w:rsidR="002D11C1" w:rsidRPr="00C05A9C">
        <w:rPr>
          <w:rFonts w:cs="EUAlbertina"/>
          <w:color w:val="000000"/>
        </w:rPr>
        <w:t>tutelare i terzi in buona fede</w:t>
      </w:r>
      <w:r>
        <w:rPr>
          <w:rFonts w:cs="EUAlbertina"/>
          <w:color w:val="000000"/>
        </w:rPr>
        <w:t>.</w:t>
      </w:r>
    </w:p>
    <w:p w:rsidR="00087877" w:rsidRDefault="00087877" w:rsidP="00087877">
      <w:pPr>
        <w:rPr>
          <w:rFonts w:cs="EUAlbertina"/>
          <w:color w:val="000000"/>
        </w:rPr>
      </w:pPr>
      <w:r>
        <w:rPr>
          <w:rFonts w:cs="EUAlbertina"/>
          <w:color w:val="000000"/>
        </w:rPr>
        <w:t>Di difficile decifrazione è il riparto di competenze fra corti nazionali e corte europea, che segue linee diverse a seconda dei casi e dei settori e a volte viene anzi lasciato all’interpretazione. Si può fare in proposito qualche esempio, con l’avvertenza che si tratta più spesso di ipotesi astratte che non di casi concreti, data la mancanza di precedenti.</w:t>
      </w:r>
    </w:p>
    <w:p w:rsidR="00A63FFE" w:rsidRDefault="00087877" w:rsidP="00E36C71">
      <w:r>
        <w:rPr>
          <w:rFonts w:cs="EUAlbertina"/>
          <w:color w:val="000000"/>
        </w:rPr>
        <w:t>Si prenda una decisione dell’</w:t>
      </w:r>
      <w:proofErr w:type="spellStart"/>
      <w:r>
        <w:rPr>
          <w:rFonts w:cs="EUAlbertina"/>
          <w:color w:val="000000"/>
        </w:rPr>
        <w:t>Esma</w:t>
      </w:r>
      <w:proofErr w:type="spellEnd"/>
      <w:r>
        <w:rPr>
          <w:rFonts w:cs="EUAlbertina"/>
          <w:color w:val="000000"/>
        </w:rPr>
        <w:t>: le c</w:t>
      </w:r>
      <w:r w:rsidR="00E36C71">
        <w:t xml:space="preserve">orti nazionali possono controllare l’autenticità della decisione e la sua proporzionalità, ma non i presupposti dell’intervento </w:t>
      </w:r>
      <w:r>
        <w:t xml:space="preserve">dell’autorità di vigilanza, in quanto il sindacato di questi ultimi è riservato alla Corte di giustizia. Non è chiaro, poi, se la giurisdizione della Corte di giustizia possa qualificarsi come una giurisdizione piena, con pieno accesso al fatto, o se si tratti di un sindacato di </w:t>
      </w:r>
      <w:r w:rsidR="00A63FFE">
        <w:t>stretto diritto</w:t>
      </w:r>
      <w:r>
        <w:t>.</w:t>
      </w:r>
    </w:p>
    <w:p w:rsidR="006D4495" w:rsidRDefault="00087877" w:rsidP="00E36C71">
      <w:r>
        <w:t>Si prenda, ancora</w:t>
      </w:r>
      <w:r w:rsidR="00C169AA">
        <w:t>,</w:t>
      </w:r>
      <w:r>
        <w:t xml:space="preserve"> una decisione adottata dalla Bce in sede di applicazione del diritto nazionale, ai sensi dell’art. 4, comma 3 del regolamento sul meccanismo unico di vigilanza. Quale sarà il giudice competente, il giudice dell’ordinamento in cu</w:t>
      </w:r>
      <w:r w:rsidR="003326E2">
        <w:t>i</w:t>
      </w:r>
      <w:r>
        <w:t xml:space="preserve"> la regola opera o il giudice del soggetto che l’ha applicata? E quando, viceversa, un’autorità nazionale adotta un provvedimento a seguito di istruzioni della Bce, come dovrà individuarsi la giurisdizione competente? Esistono già, peraltro</w:t>
      </w:r>
      <w:r w:rsidR="003326E2">
        <w:t>,</w:t>
      </w:r>
      <w:r>
        <w:t xml:space="preserve"> previsioni specifiche in materia: secondo l’art. 14, comma 2, dello statuto della Bce, </w:t>
      </w:r>
      <w:r w:rsidR="006D4495">
        <w:t>un governatore di una banca centrale rimosso dal suo ufficio dall’autorità nazionale può impugnare la decisione nazionale di fronte a</w:t>
      </w:r>
      <w:r>
        <w:t>lla</w:t>
      </w:r>
      <w:r w:rsidR="006D4495">
        <w:t xml:space="preserve"> C</w:t>
      </w:r>
      <w:r>
        <w:t>orte di Giustizia.</w:t>
      </w:r>
    </w:p>
    <w:p w:rsidR="00087877" w:rsidRDefault="00087877" w:rsidP="00E36C71">
      <w:r>
        <w:lastRenderedPageBreak/>
        <w:t>Ancora: possono esservi decisioni prese sulla base delle medesime norme e portate dinanzi a giudici diversi a seconda del soggetto che adotta la decisione, come accade per le decisioni di rigetto della richiesta di autorizzazione</w:t>
      </w:r>
      <w:r w:rsidR="00A43C42">
        <w:t xml:space="preserve"> adottate da un’autorità nazionale di vigilanza e per le decisioni di rigetto adottate dalla Bce. Le medesime regole, o meglio la loro applicazione, potrà così essere sindacata da corti diverse, mentre, di converso, si porrà il problema di come far valere l’eventuale responsabilità, tanto dell’autorità europea, quanto dell’autorità nazionale, per le decisioni adottate.</w:t>
      </w:r>
    </w:p>
    <w:p w:rsidR="00C05A9C" w:rsidRDefault="00A43C42" w:rsidP="00C05A9C">
      <w:r>
        <w:t>Un problema ulteriore si pone per le decisioni che un’autorità di vigilanza europea adotti nei confronti di un partecipante ad un mercato nazionale, nei casi previsti dai regolamenti: quella decisione dovrà essere impugnata di fronte ad un giudice nazionale e sarà valutata secondo le regole procedimentali e processuali dell’ordinamento nazionale o dell’ordinamento europeo?</w:t>
      </w:r>
    </w:p>
    <w:p w:rsidR="001F2A98" w:rsidRDefault="001F2A98" w:rsidP="00F2377D">
      <w:pPr>
        <w:ind w:firstLine="0"/>
      </w:pPr>
    </w:p>
    <w:p w:rsidR="001F2A98" w:rsidRPr="00311C6D" w:rsidRDefault="00311C6D" w:rsidP="00A87C4F">
      <w:r w:rsidRPr="00311C6D">
        <w:t>5</w:t>
      </w:r>
      <w:r w:rsidR="001F2A98" w:rsidRPr="00311C6D">
        <w:t xml:space="preserve">. </w:t>
      </w:r>
      <w:r w:rsidR="005A65B7" w:rsidRPr="00311C6D">
        <w:t>Una regolazione per domani?</w:t>
      </w:r>
    </w:p>
    <w:p w:rsidR="00446089" w:rsidRDefault="00446089" w:rsidP="00446089">
      <w:pPr>
        <w:ind w:firstLine="708"/>
      </w:pPr>
      <w:r>
        <w:t>I</w:t>
      </w:r>
      <w:r w:rsidR="00EB3814">
        <w:t>l sistema euro</w:t>
      </w:r>
      <w:r>
        <w:t>peo di supervisione finanziaria può essere considerato, a seconda del parametro di riferimento, un caso di successo istituzionale o un sistema dove i vuoti prevalgono ancora sui pieni. L’istituzione delle autorità di regolazione e di vigilanza, la costruzione dell’Unione</w:t>
      </w:r>
      <w:r w:rsidR="00F37218">
        <w:t xml:space="preserve"> bancaria, la redistribuzione d</w:t>
      </w:r>
      <w:r>
        <w:t>e</w:t>
      </w:r>
      <w:r w:rsidR="00F37218">
        <w:t>i</w:t>
      </w:r>
      <w:r>
        <w:t xml:space="preserve"> poteri fra autorità europee e autorità nazionali, la disciplina di nuovi poteri propri delle autorità europee sono state realizzate, almeno quanto alla definizione delle regole, in meno di </w:t>
      </w:r>
      <w:r w:rsidR="00B70721">
        <w:t>quattro</w:t>
      </w:r>
      <w:r>
        <w:t xml:space="preserve"> anni</w:t>
      </w:r>
      <w:r w:rsidR="00D23EDD">
        <w:t xml:space="preserve">, dai </w:t>
      </w:r>
      <w:r w:rsidR="00B70721" w:rsidRPr="00B70721">
        <w:t xml:space="preserve">regolamenti </w:t>
      </w:r>
      <w:r w:rsidR="00D23EDD">
        <w:t>su</w:t>
      </w:r>
      <w:r w:rsidR="00B70721" w:rsidRPr="00B70721">
        <w:t xml:space="preserve">lle </w:t>
      </w:r>
      <w:proofErr w:type="spellStart"/>
      <w:r w:rsidR="00B70721" w:rsidRPr="00B70721">
        <w:t>Esa</w:t>
      </w:r>
      <w:proofErr w:type="spellEnd"/>
      <w:r w:rsidR="00B70721" w:rsidRPr="00B70721">
        <w:t xml:space="preserve"> </w:t>
      </w:r>
      <w:r w:rsidR="00D23EDD">
        <w:t>de</w:t>
      </w:r>
      <w:r w:rsidR="00B70721" w:rsidRPr="00B70721">
        <w:t>l 2010</w:t>
      </w:r>
      <w:r w:rsidR="00D23EDD">
        <w:t xml:space="preserve"> al regolamento sul m</w:t>
      </w:r>
      <w:r w:rsidR="00B70721" w:rsidRPr="00B70721">
        <w:t>eccanismo di risoluzione del 2014</w:t>
      </w:r>
      <w:r>
        <w:t>. Per avere un u</w:t>
      </w:r>
      <w:r w:rsidR="003324FB">
        <w:t>t</w:t>
      </w:r>
      <w:r>
        <w:t xml:space="preserve">ile elemento di confronto, basti ricordare che </w:t>
      </w:r>
      <w:r w:rsidR="003324FB">
        <w:t>i</w:t>
      </w:r>
      <w:r>
        <w:t xml:space="preserve">l </w:t>
      </w:r>
      <w:proofErr w:type="spellStart"/>
      <w:r>
        <w:t>Dodd</w:t>
      </w:r>
      <w:proofErr w:type="spellEnd"/>
      <w:r>
        <w:t xml:space="preserve"> </w:t>
      </w:r>
      <w:proofErr w:type="spellStart"/>
      <w:r>
        <w:t>Franks</w:t>
      </w:r>
      <w:proofErr w:type="spellEnd"/>
      <w:r w:rsidR="00C169AA">
        <w:t xml:space="preserve"> </w:t>
      </w:r>
      <w:proofErr w:type="spellStart"/>
      <w:r w:rsidR="00C169AA">
        <w:t>Act</w:t>
      </w:r>
      <w:proofErr w:type="spellEnd"/>
      <w:r w:rsidR="00C169AA">
        <w:t xml:space="preserve"> ha richiesto, negli Stati U</w:t>
      </w:r>
      <w:r>
        <w:t xml:space="preserve">niti, </w:t>
      </w:r>
      <w:r w:rsidR="003324FB">
        <w:t>2 anni per l’approvazione da parte del Congresso, altri 2</w:t>
      </w:r>
      <w:r>
        <w:t xml:space="preserve"> anni </w:t>
      </w:r>
      <w:r w:rsidR="003324FB" w:rsidRPr="003324FB">
        <w:t xml:space="preserve">per giungere, nel 2012, all’entrata in vigore del necessario regolamento finale della Sec </w:t>
      </w:r>
      <w:r>
        <w:t>e che il processo di attuazione e applicazione della nuova disciplina è ben lontano dall’essere compiuto</w:t>
      </w:r>
      <w:r>
        <w:rPr>
          <w:rStyle w:val="Rimandonotaapidipagina"/>
        </w:rPr>
        <w:footnoteReference w:id="32"/>
      </w:r>
      <w:r>
        <w:t>.</w:t>
      </w:r>
    </w:p>
    <w:p w:rsidR="003324FB" w:rsidRDefault="003324FB" w:rsidP="00446089">
      <w:pPr>
        <w:ind w:firstLine="708"/>
      </w:pPr>
      <w:r>
        <w:lastRenderedPageBreak/>
        <w:t>Il nuovo sistema europeo di supervisione finanziaria presenta però, come si è visto in precedenza, caratteristiche significativamente nuove rispetto alla tradizione del diritto europeo, quali l’accentramento di funzioni in capo ad apparati centrali, l’uniformità di regole e di prassi perseguita con l’integrazione e non solo con la composizione e il coordinamento, l’attribuzione di poteri non sempre soggetti al criterio di stretta interpretazione, ma invece dotati di flessibilità e di capacità espansiva in ragione delle finalità perseguite. In questo sistema abbondano le possibili sovrapposizioni</w:t>
      </w:r>
      <w:r w:rsidR="0038067D">
        <w:t xml:space="preserve"> ed emergono sempre più evidenti le parti mancanti, dal completamento dell’unione bancaria con il sistema di garanzia dei depositi alla difficoltà di garantire i medesimi risultati in ciascun ordinamento con discipline diverse in materia fiscale o di leggi fallimentari, per fare solo qualche esempio.</w:t>
      </w:r>
    </w:p>
    <w:p w:rsidR="006D4495" w:rsidRDefault="0038067D" w:rsidP="0038067D">
      <w:pPr>
        <w:ind w:firstLine="708"/>
      </w:pPr>
      <w:r>
        <w:t xml:space="preserve">La maggiore attribuzione </w:t>
      </w:r>
      <w:r w:rsidR="00F37218">
        <w:t>d</w:t>
      </w:r>
      <w:r>
        <w:t xml:space="preserve">i poteri alle autorità di regolazione e di vigilanza fa </w:t>
      </w:r>
      <w:r w:rsidR="00F37218">
        <w:t>e</w:t>
      </w:r>
      <w:r>
        <w:t xml:space="preserve">mergere, inoltre, come è naturale che sia, problemi nuovi di </w:t>
      </w:r>
      <w:proofErr w:type="spellStart"/>
      <w:r w:rsidRPr="0038067D">
        <w:rPr>
          <w:i/>
        </w:rPr>
        <w:t>g</w:t>
      </w:r>
      <w:r w:rsidR="00782B5C" w:rsidRPr="0038067D">
        <w:rPr>
          <w:i/>
        </w:rPr>
        <w:t>overnance</w:t>
      </w:r>
      <w:proofErr w:type="spellEnd"/>
      <w:r w:rsidR="00782B5C">
        <w:t xml:space="preserve"> e </w:t>
      </w:r>
      <w:r>
        <w:t xml:space="preserve">di </w:t>
      </w:r>
      <w:proofErr w:type="spellStart"/>
      <w:r w:rsidR="00782B5C" w:rsidRPr="0038067D">
        <w:rPr>
          <w:i/>
        </w:rPr>
        <w:t>accountability</w:t>
      </w:r>
      <w:proofErr w:type="spellEnd"/>
      <w:r w:rsidR="00782B5C" w:rsidRPr="0038067D">
        <w:rPr>
          <w:rStyle w:val="Rimandonotaapidipagina"/>
        </w:rPr>
        <w:footnoteReference w:id="33"/>
      </w:r>
      <w:r>
        <w:t>, mentre, per altro verso,</w:t>
      </w:r>
      <w:r w:rsidR="006C33CE">
        <w:t xml:space="preserve"> l’accentramento della supervisione</w:t>
      </w:r>
      <w:r>
        <w:t xml:space="preserve"> pone problemi diversi rispetto al passato, quando il </w:t>
      </w:r>
      <w:r w:rsidR="00F37218">
        <w:t>t</w:t>
      </w:r>
      <w:r>
        <w:t xml:space="preserve">ema principale era il mancato coordinamento, la frammentazione e la difformità dei comportamenti. Ora il problema può diventare, invece, un eccesso di uniformità nell’esercizio dei poteri rispetto ad ordinamenti e mercati nazionali che comunque presentano caratteristiche diverse, non sempre facilmente sussumibili sotto le medesime regole e con le medesime prassi. </w:t>
      </w:r>
    </w:p>
    <w:p w:rsidR="0038067D" w:rsidRDefault="0038067D" w:rsidP="0038067D">
      <w:pPr>
        <w:ind w:firstLine="708"/>
      </w:pPr>
      <w:r>
        <w:t>C’è da aspettarsi, quindi, che il sistema evolva ulteriormente sul piano della disciplina normativa e si assesti sul piano dell’esercizio concreto dei poteri e dei comportamenti delle autorità di regolazione e di vigilanza.</w:t>
      </w:r>
    </w:p>
    <w:p w:rsidR="00B52E99" w:rsidRDefault="00B52E99" w:rsidP="0038067D">
      <w:pPr>
        <w:ind w:firstLine="708"/>
      </w:pPr>
      <w:r>
        <w:t xml:space="preserve">Si possono, però, comunque individuare, sulla base dell’analisi sinora svolta, alcuni elementi che non appaiono transeunti, anche perché collegati alla </w:t>
      </w:r>
      <w:r w:rsidRPr="00B52E99">
        <w:rPr>
          <w:i/>
        </w:rPr>
        <w:t>ratio</w:t>
      </w:r>
      <w:r>
        <w:t xml:space="preserve"> di fondo del nuovo assetto. Sinteticamente, questa </w:t>
      </w:r>
      <w:r w:rsidRPr="00F37218">
        <w:rPr>
          <w:i/>
        </w:rPr>
        <w:t>ratio</w:t>
      </w:r>
      <w:r>
        <w:t xml:space="preserve"> può individuarsi nella necessità di far fronte al rischio sistemico, del quale la crisi ha dimostrato la </w:t>
      </w:r>
      <w:r>
        <w:lastRenderedPageBreak/>
        <w:t>pericolosità non solo per i mercati finanziari, ma per le economie e le società nazionali, nessuna esclusa.</w:t>
      </w:r>
    </w:p>
    <w:p w:rsidR="00B52E99" w:rsidRDefault="00B52E99" w:rsidP="0038067D">
      <w:pPr>
        <w:ind w:firstLine="708"/>
      </w:pPr>
      <w:r>
        <w:t xml:space="preserve">Di qui tre conseguenze. </w:t>
      </w:r>
    </w:p>
    <w:p w:rsidR="00162DF1" w:rsidRDefault="00F37218" w:rsidP="00162DF1">
      <w:pPr>
        <w:ind w:firstLine="708"/>
      </w:pPr>
      <w:r>
        <w:t xml:space="preserve">Si è modificato, in primo luogo, il paradigma di riferimento sotteso alle scelte di regolazione e di controllo. </w:t>
      </w:r>
      <w:r w:rsidR="00B52E99">
        <w:t>Si è abbandonata l’idea che i mercati possano autoregolarsi e che essi siano dotati di un equilibrio tendenziale che solo raramente ed eccezionalmente può essere turbato.</w:t>
      </w:r>
      <w:r w:rsidR="00162DF1">
        <w:t xml:space="preserve"> La crisi è vista</w:t>
      </w:r>
      <w:r>
        <w:t>, invece,</w:t>
      </w:r>
      <w:r w:rsidR="00162DF1">
        <w:t xml:space="preserve"> come una evenienza sempre possibile e di dimensioni superiori alle capacità di reazione di un singolo Stato. Tutti i soggetti che operano sul mercato sono considerati come possibili “portatori” di rischio sistemico. I poteri di prevenzione, gestione e risposta sono quindi poteri permanenti e non straordinari e strutturati in modo tale da incidere anche in via ordinaria sull’autonomia privata, sull’autonomia contrattuale, sulle relazioni di mercato, sui comportamenti ammessi e su quelli, invece, vietati.</w:t>
      </w:r>
      <w:r w:rsidR="007204F9">
        <w:t xml:space="preserve"> Nel settore della vigilanza bancaria, inoltre, la centralità dei profili di rischio </w:t>
      </w:r>
      <w:r w:rsidR="00565E27">
        <w:t xml:space="preserve">sistemico è strumentale anche alla volontà di evitare, o comunque limitare, le possibilità di </w:t>
      </w:r>
      <w:proofErr w:type="spellStart"/>
      <w:r w:rsidR="00565E27">
        <w:t>mutualizzazione</w:t>
      </w:r>
      <w:proofErr w:type="spellEnd"/>
      <w:r w:rsidR="00565E27">
        <w:t xml:space="preserve"> del rischio all’interno dell’ordinamento europeo.</w:t>
      </w:r>
    </w:p>
    <w:p w:rsidR="00366A49" w:rsidRDefault="00162DF1" w:rsidP="00366A49">
      <w:pPr>
        <w:ind w:firstLine="708"/>
      </w:pPr>
      <w:r>
        <w:t>La natura sistemica del rischio da prevenire e affrontare comporta, in secondo luogo, che i poteri di regolazione, vigilanza e supervisione siano definiti anche mediante il richiamo di clausole generali abilitanti. I presupposti per l’esercizio di quei poteri sono in parte individuati dalle norme e in parte – una parte non irrilevante</w:t>
      </w:r>
      <w:r w:rsidR="00C169AA">
        <w:t xml:space="preserve"> </w:t>
      </w:r>
      <w:r>
        <w:t>- rimessi alla valutazione delle stesse autorità, sulla base della loro discrezionalità tecnica. Il principio di governo di quei poteri non è più solo e sempre il principio di legalità, ma sempre più frequentemente il principio di proporzionalità,  che consente, appunto, un margine più ampio di discrezionalità.</w:t>
      </w:r>
    </w:p>
    <w:p w:rsidR="00366A49" w:rsidRDefault="00366A49" w:rsidP="00366A49">
      <w:pPr>
        <w:ind w:firstLine="708"/>
      </w:pPr>
      <w:r>
        <w:t xml:space="preserve">Siamo di fronte, infine, ad un imponente fenomeno di </w:t>
      </w:r>
      <w:r w:rsidR="00C05A9C">
        <w:t xml:space="preserve">europeizzazione e centralizzazione </w:t>
      </w:r>
      <w:r>
        <w:t xml:space="preserve">non solo delle regole, ma </w:t>
      </w:r>
      <w:r w:rsidR="00C05A9C">
        <w:t>dell’</w:t>
      </w:r>
      <w:proofErr w:type="spellStart"/>
      <w:r w:rsidR="00C05A9C" w:rsidRPr="00366A49">
        <w:rPr>
          <w:i/>
        </w:rPr>
        <w:t>enforcement</w:t>
      </w:r>
      <w:proofErr w:type="spellEnd"/>
      <w:r>
        <w:t xml:space="preserve"> di quelle regole</w:t>
      </w:r>
      <w:r w:rsidR="000B1CAE">
        <w:rPr>
          <w:rStyle w:val="Rimandonotaapidipagina"/>
        </w:rPr>
        <w:footnoteReference w:id="34"/>
      </w:r>
      <w:r>
        <w:t xml:space="preserve">. Gli strumenti dell’unificazione sono, come si è già visto, gli strumenti tipici dei sistemi accentrati e, anzi, gerarchici: </w:t>
      </w:r>
      <w:r w:rsidR="00F37218">
        <w:t xml:space="preserve">le procedure e le strutture comuni, i manuali </w:t>
      </w:r>
      <w:r w:rsidR="00F37218">
        <w:lastRenderedPageBreak/>
        <w:t xml:space="preserve">unici, </w:t>
      </w:r>
      <w:r>
        <w:t xml:space="preserve">gli ordini, le istruzioni, le avocazioni, le sostituzioni. Non bisogna enfatizzare troppo, naturalmente, questo aspetto, perché le autorità nazionali continuano a giocare un ruolo rilevante come membri delle autorità europee, ma queste ultime dispongono sicuramente in misura molto più ampia rispetto al passato del potere di </w:t>
      </w:r>
      <w:r w:rsidR="004957BD">
        <w:t>orientare, indirizzare e governare il sistema nel suo complesso</w:t>
      </w:r>
      <w:r>
        <w:t>, appunto più come un sistema unitario che non come un sistema composito.</w:t>
      </w:r>
    </w:p>
    <w:p w:rsidR="00BE1287" w:rsidRDefault="003B7134" w:rsidP="004957BD">
      <w:r>
        <w:t>Una ultima notazione. Questo processo di unificazione delle regole e di centralizzazione degli apparati e dei poteri si è pe</w:t>
      </w:r>
      <w:r w:rsidR="00BE1287">
        <w:t>r ora</w:t>
      </w:r>
      <w:r>
        <w:t>, per così dire,</w:t>
      </w:r>
      <w:r w:rsidR="00BE1287">
        <w:t xml:space="preserve"> “nascost</w:t>
      </w:r>
      <w:r>
        <w:t>o</w:t>
      </w:r>
      <w:r w:rsidR="00BE1287">
        <w:t>” dietro la natura tecnica</w:t>
      </w:r>
      <w:r>
        <w:t xml:space="preserve"> e indipendente delle autorità: gli Stati membri possono dire di non </w:t>
      </w:r>
      <w:r w:rsidR="003326E2">
        <w:t xml:space="preserve">aver </w:t>
      </w:r>
      <w:r>
        <w:t>perso potere politico</w:t>
      </w:r>
      <w:r w:rsidR="008D59E1">
        <w:t xml:space="preserve"> (nel doppio senso di “</w:t>
      </w:r>
      <w:proofErr w:type="spellStart"/>
      <w:r w:rsidR="008D59E1" w:rsidRPr="008D59E1">
        <w:rPr>
          <w:i/>
        </w:rPr>
        <w:t>politics</w:t>
      </w:r>
      <w:proofErr w:type="spellEnd"/>
      <w:r w:rsidR="008D59E1">
        <w:t>” e di “</w:t>
      </w:r>
      <w:r w:rsidR="008D59E1" w:rsidRPr="008D59E1">
        <w:rPr>
          <w:i/>
        </w:rPr>
        <w:t>policy</w:t>
      </w:r>
      <w:r w:rsidR="008D59E1">
        <w:t>”)</w:t>
      </w:r>
      <w:r>
        <w:t>, ma di aver soltanto redistribuito poteri tecnici di regolazione e di vigilanza fra le autorità europee e le autorità nazionali</w:t>
      </w:r>
      <w:r w:rsidR="008D59E1">
        <w:t xml:space="preserve">. Lo stesso grado di unificazione non avrebbe invece, </w:t>
      </w:r>
      <w:r w:rsidR="00BE1287">
        <w:t xml:space="preserve">potuto servirsi di strumenti </w:t>
      </w:r>
      <w:r w:rsidR="008D59E1">
        <w:t xml:space="preserve">espressamente </w:t>
      </w:r>
      <w:r w:rsidR="00BE1287">
        <w:t>politici</w:t>
      </w:r>
      <w:r w:rsidR="00F37218">
        <w:t>:</w:t>
      </w:r>
      <w:r w:rsidR="008D59E1">
        <w:t xml:space="preserve"> è questo un caso in cui, per citare </w:t>
      </w:r>
      <w:r w:rsidR="00F37218">
        <w:t xml:space="preserve">all’inverso </w:t>
      </w:r>
      <w:r w:rsidR="008D59E1">
        <w:t>un detto famoso, l’intendenza non segue, ma precede</w:t>
      </w:r>
      <w:r w:rsidR="008D59E1">
        <w:rPr>
          <w:rStyle w:val="Rimandonotaapidipagina"/>
        </w:rPr>
        <w:footnoteReference w:id="35"/>
      </w:r>
      <w:r w:rsidR="008D59E1">
        <w:t>. Si tratta di uno fra i numerosi tratti propri e distintivi dell’ordinamento europeo</w:t>
      </w:r>
      <w:r w:rsidR="0037742F">
        <w:t xml:space="preserve">, caratterizzato dal tentativo di costruire un sistema unitario senza un processo di </w:t>
      </w:r>
      <w:proofErr w:type="spellStart"/>
      <w:r w:rsidR="0037742F" w:rsidRPr="0037742F">
        <w:rPr>
          <w:i/>
        </w:rPr>
        <w:t>nation</w:t>
      </w:r>
      <w:proofErr w:type="spellEnd"/>
      <w:r w:rsidR="0037742F" w:rsidRPr="0037742F">
        <w:rPr>
          <w:i/>
        </w:rPr>
        <w:t xml:space="preserve"> building</w:t>
      </w:r>
      <w:r w:rsidR="0037742F">
        <w:t>. Le sfide a questo tentativo, non solo per quanto riguarda il sistema europeo di supervisione finanziaria, non mancano</w:t>
      </w:r>
      <w:r w:rsidR="00A66D46">
        <w:rPr>
          <w:rStyle w:val="Rimandonotaapidipagina"/>
        </w:rPr>
        <w:footnoteReference w:id="36"/>
      </w:r>
      <w:r w:rsidR="0037742F">
        <w:t>.</w:t>
      </w:r>
    </w:p>
    <w:p w:rsidR="0037742F" w:rsidRDefault="0037742F" w:rsidP="004957BD"/>
    <w:p w:rsidR="00415AAF" w:rsidRDefault="00415AAF">
      <w:r>
        <w:br w:type="page"/>
      </w:r>
    </w:p>
    <w:p w:rsidR="00415AAF" w:rsidRDefault="00415AAF" w:rsidP="00850077">
      <w:pPr>
        <w:ind w:firstLine="0"/>
      </w:pPr>
    </w:p>
    <w:p w:rsidR="00415AAF" w:rsidRDefault="00415AAF" w:rsidP="00415AAF">
      <w:pPr>
        <w:ind w:firstLine="1134"/>
      </w:pPr>
    </w:p>
    <w:p w:rsidR="00415AAF" w:rsidRDefault="00415AAF" w:rsidP="00415AAF">
      <w:pPr>
        <w:ind w:firstLine="1134"/>
      </w:pPr>
      <w:r>
        <w:t>.</w:t>
      </w:r>
    </w:p>
    <w:p w:rsidR="00415AAF" w:rsidRPr="001842FC" w:rsidRDefault="00415AAF" w:rsidP="00415AAF">
      <w:pPr>
        <w:ind w:firstLine="1134"/>
      </w:pPr>
    </w:p>
    <w:p w:rsidR="00415AAF" w:rsidRDefault="00415AAF" w:rsidP="00850077">
      <w:pPr>
        <w:ind w:firstLine="0"/>
      </w:pPr>
    </w:p>
    <w:p w:rsidR="006D5952" w:rsidRDefault="006D5952">
      <w:r>
        <w:br w:type="page"/>
      </w:r>
    </w:p>
    <w:p w:rsidR="00923165" w:rsidRDefault="00923165" w:rsidP="00923165"/>
    <w:sectPr w:rsidR="00923165" w:rsidSect="00242BF5">
      <w:footerReference w:type="default" r:id="rId9"/>
      <w:pgSz w:w="11906" w:h="16838"/>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624" w:rsidRDefault="00B03624" w:rsidP="00A87C4F">
      <w:pPr>
        <w:spacing w:line="240" w:lineRule="auto"/>
      </w:pPr>
      <w:r>
        <w:separator/>
      </w:r>
    </w:p>
  </w:endnote>
  <w:endnote w:type="continuationSeparator" w:id="0">
    <w:p w:rsidR="00B03624" w:rsidRDefault="00B03624" w:rsidP="00A87C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84969"/>
      <w:docPartObj>
        <w:docPartGallery w:val="Page Numbers (Bottom of Page)"/>
        <w:docPartUnique/>
      </w:docPartObj>
    </w:sdtPr>
    <w:sdtEndPr/>
    <w:sdtContent>
      <w:p w:rsidR="004B2EAC" w:rsidRDefault="004B2EAC">
        <w:pPr>
          <w:pStyle w:val="Pidipagina"/>
          <w:jc w:val="right"/>
        </w:pPr>
        <w:r>
          <w:fldChar w:fldCharType="begin"/>
        </w:r>
        <w:r>
          <w:instrText>PAGE   \* MERGEFORMAT</w:instrText>
        </w:r>
        <w:r>
          <w:fldChar w:fldCharType="separate"/>
        </w:r>
        <w:r w:rsidR="00B25E0B">
          <w:rPr>
            <w:noProof/>
          </w:rPr>
          <w:t>1</w:t>
        </w:r>
        <w:r>
          <w:fldChar w:fldCharType="end"/>
        </w:r>
      </w:p>
    </w:sdtContent>
  </w:sdt>
  <w:p w:rsidR="004B2EAC" w:rsidRDefault="004B2EA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624" w:rsidRDefault="00B03624" w:rsidP="00A87C4F">
      <w:pPr>
        <w:spacing w:line="240" w:lineRule="auto"/>
      </w:pPr>
      <w:r>
        <w:separator/>
      </w:r>
    </w:p>
  </w:footnote>
  <w:footnote w:type="continuationSeparator" w:id="0">
    <w:p w:rsidR="00B03624" w:rsidRDefault="00B03624" w:rsidP="00A87C4F">
      <w:pPr>
        <w:spacing w:line="240" w:lineRule="auto"/>
      </w:pPr>
      <w:r>
        <w:continuationSeparator/>
      </w:r>
    </w:p>
  </w:footnote>
  <w:footnote w:id="1">
    <w:p w:rsidR="00183007" w:rsidRPr="005E47EA" w:rsidRDefault="00183007">
      <w:pPr>
        <w:pStyle w:val="Testonotaapidipagina"/>
        <w:rPr>
          <w:lang w:val="en-US"/>
        </w:rPr>
      </w:pPr>
      <w:r>
        <w:rPr>
          <w:rStyle w:val="Rimandonotaapidipagina"/>
        </w:rPr>
        <w:footnoteRef/>
      </w:r>
      <w:r>
        <w:t xml:space="preserve"> Sulle differenze e le similarità fra la grande crisi del 1929 e la crisi globale dell’in</w:t>
      </w:r>
      <w:r w:rsidR="003E03AC">
        <w:t>i</w:t>
      </w:r>
      <w:r>
        <w:t xml:space="preserve">zio di questo secolo v. </w:t>
      </w:r>
      <w:proofErr w:type="spellStart"/>
      <w:r>
        <w:t>Eichgreen</w:t>
      </w:r>
      <w:proofErr w:type="spellEnd"/>
      <w:r w:rsidR="003E03AC">
        <w:t>, B.</w:t>
      </w:r>
      <w:r>
        <w:t xml:space="preserve">, </w:t>
      </w:r>
      <w:r w:rsidR="005E47EA" w:rsidRPr="009D3F3C">
        <w:t xml:space="preserve">Hall of </w:t>
      </w:r>
      <w:proofErr w:type="spellStart"/>
      <w:r w:rsidR="005E47EA" w:rsidRPr="009D3F3C">
        <w:t>Mirrors</w:t>
      </w:r>
      <w:proofErr w:type="spellEnd"/>
      <w:r w:rsidR="005E47EA" w:rsidRPr="009D3F3C">
        <w:t xml:space="preserve">. </w:t>
      </w:r>
      <w:r w:rsidR="005E47EA" w:rsidRPr="005E47EA">
        <w:rPr>
          <w:lang w:val="en-US"/>
        </w:rPr>
        <w:t>The Great Depression, The Great Recession, and the Uses-and Misuses-of History, Oxford, Oxford University Press, 2015</w:t>
      </w:r>
    </w:p>
  </w:footnote>
  <w:footnote w:id="2">
    <w:p w:rsidR="004B2EAC" w:rsidRPr="00183007" w:rsidRDefault="004B2EAC" w:rsidP="000D06D2">
      <w:pPr>
        <w:pStyle w:val="Testonotaapidipagina"/>
      </w:pPr>
      <w:r>
        <w:rPr>
          <w:rStyle w:val="Rimandonotaapidipagina"/>
        </w:rPr>
        <w:footnoteRef/>
      </w:r>
      <w:r>
        <w:t xml:space="preserve"> L’assetto è stato definito con </w:t>
      </w:r>
      <w:r w:rsidRPr="00923165">
        <w:t>i Regolamenti di Parlamento europeo e del Consiglio del 24 novembre 2010, 1092/2010 e 1096/2010 (</w:t>
      </w:r>
      <w:r>
        <w:t>sul</w:t>
      </w:r>
      <w:r w:rsidRPr="00923165">
        <w:t xml:space="preserve"> Consiglio per il rischio sistemico), 1093/2010 (</w:t>
      </w:r>
      <w:r>
        <w:t>su</w:t>
      </w:r>
      <w:r w:rsidRPr="00923165">
        <w:t>ll’Autorità bancaria europea), 1094/2010 (</w:t>
      </w:r>
      <w:r>
        <w:t>sull</w:t>
      </w:r>
      <w:r w:rsidRPr="00923165">
        <w:t>’Autorità europea delle assicurazioni e delle pensioni aziendali e professionali) e 1095/2010 (</w:t>
      </w:r>
      <w:r>
        <w:t>sull</w:t>
      </w:r>
      <w:r w:rsidRPr="00923165">
        <w:t>’Autorità europea degli strumenti finanziari e dei mercati), GUUE L 331 del 15 dicembre 2010</w:t>
      </w:r>
      <w:r>
        <w:t>.</w:t>
      </w:r>
      <w:r w:rsidR="00CA0DB9">
        <w:t xml:space="preserve"> </w:t>
      </w:r>
      <w:r w:rsidR="000D06D2" w:rsidRPr="00632E6B">
        <w:t xml:space="preserve">In termini generali, v. </w:t>
      </w:r>
      <w:proofErr w:type="spellStart"/>
      <w:r w:rsidR="000D06D2" w:rsidRPr="00632E6B">
        <w:t>Onado</w:t>
      </w:r>
      <w:proofErr w:type="spellEnd"/>
      <w:r w:rsidR="000D06D2" w:rsidRPr="00632E6B">
        <w:t xml:space="preserve">, M., La supervisione finanziaria europea dopo il Rapporto de </w:t>
      </w:r>
      <w:proofErr w:type="spellStart"/>
      <w:r w:rsidR="000D06D2" w:rsidRPr="00632E6B">
        <w:t>Larosiere</w:t>
      </w:r>
      <w:proofErr w:type="spellEnd"/>
      <w:r w:rsidR="000D06D2" w:rsidRPr="00632E6B">
        <w:t>: siamo sulla strada giusta?, in Bancaria, 2009, 16 ss.</w:t>
      </w:r>
      <w:r w:rsidR="00632E6B" w:rsidRPr="00632E6B">
        <w:t>;</w:t>
      </w:r>
      <w:r w:rsidR="00632E6B">
        <w:t xml:space="preserve"> Napolitano, G., Il meccanismo europeo di stabilità e le nuove frontiere costituzionali dell'Unione, in </w:t>
      </w:r>
      <w:proofErr w:type="spellStart"/>
      <w:r w:rsidR="00632E6B">
        <w:t>Giorn</w:t>
      </w:r>
      <w:proofErr w:type="spellEnd"/>
      <w:r w:rsidR="00632E6B">
        <w:t xml:space="preserve">. </w:t>
      </w:r>
      <w:r w:rsidR="00632E6B" w:rsidRPr="00923165">
        <w:rPr>
          <w:lang w:val="en-US"/>
        </w:rPr>
        <w:t xml:space="preserve">Dir. </w:t>
      </w:r>
      <w:proofErr w:type="spellStart"/>
      <w:r w:rsidR="00632E6B" w:rsidRPr="00923165">
        <w:rPr>
          <w:lang w:val="en-US"/>
        </w:rPr>
        <w:t>Amm</w:t>
      </w:r>
      <w:proofErr w:type="spellEnd"/>
      <w:r w:rsidR="00632E6B" w:rsidRPr="00923165">
        <w:rPr>
          <w:lang w:val="en-US"/>
        </w:rPr>
        <w:t>., 2012, 461 ss.</w:t>
      </w:r>
      <w:r w:rsidR="00632E6B">
        <w:rPr>
          <w:lang w:val="en-US"/>
        </w:rPr>
        <w:t>;</w:t>
      </w:r>
      <w:r w:rsidR="000D06D2" w:rsidRPr="00632E6B">
        <w:rPr>
          <w:lang w:val="en-US"/>
        </w:rPr>
        <w:t xml:space="preserve"> </w:t>
      </w:r>
      <w:proofErr w:type="spellStart"/>
      <w:r w:rsidR="000D06D2" w:rsidRPr="00632E6B">
        <w:rPr>
          <w:lang w:val="en-US"/>
        </w:rPr>
        <w:t>Wymeersch</w:t>
      </w:r>
      <w:proofErr w:type="spellEnd"/>
      <w:r w:rsidR="000D06D2" w:rsidRPr="00632E6B">
        <w:rPr>
          <w:lang w:val="en-US"/>
        </w:rPr>
        <w:t xml:space="preserve">, E., The European financial supervisory Authorities or ESAs, in </w:t>
      </w:r>
      <w:proofErr w:type="spellStart"/>
      <w:r w:rsidR="000D06D2" w:rsidRPr="00632E6B">
        <w:rPr>
          <w:lang w:val="en-US"/>
        </w:rPr>
        <w:t>Ferrarini</w:t>
      </w:r>
      <w:proofErr w:type="spellEnd"/>
      <w:r w:rsidR="000D06D2" w:rsidRPr="00632E6B">
        <w:rPr>
          <w:lang w:val="en-US"/>
        </w:rPr>
        <w:t xml:space="preserve">, G.- </w:t>
      </w:r>
      <w:proofErr w:type="spellStart"/>
      <w:r w:rsidR="000D06D2" w:rsidRPr="00632E6B">
        <w:rPr>
          <w:lang w:val="en-US"/>
        </w:rPr>
        <w:t>Hopt</w:t>
      </w:r>
      <w:proofErr w:type="spellEnd"/>
      <w:r w:rsidR="000D06D2" w:rsidRPr="00632E6B">
        <w:rPr>
          <w:lang w:val="en-US"/>
        </w:rPr>
        <w:t xml:space="preserve">, K.J.- </w:t>
      </w:r>
      <w:proofErr w:type="spellStart"/>
      <w:r w:rsidR="000D06D2" w:rsidRPr="00632E6B">
        <w:rPr>
          <w:lang w:val="en-US"/>
        </w:rPr>
        <w:t>Wymeersch</w:t>
      </w:r>
      <w:proofErr w:type="spellEnd"/>
      <w:r w:rsidR="000D06D2" w:rsidRPr="00632E6B">
        <w:rPr>
          <w:lang w:val="en-US"/>
        </w:rPr>
        <w:t xml:space="preserve">, E. (a </w:t>
      </w:r>
      <w:proofErr w:type="spellStart"/>
      <w:r w:rsidR="000D06D2" w:rsidRPr="00632E6B">
        <w:rPr>
          <w:lang w:val="en-US"/>
        </w:rPr>
        <w:t>cura</w:t>
      </w:r>
      <w:proofErr w:type="spellEnd"/>
      <w:r w:rsidR="000D06D2" w:rsidRPr="00632E6B">
        <w:rPr>
          <w:lang w:val="en-US"/>
        </w:rPr>
        <w:t xml:space="preserve"> di), Rethinking Financial Regulation and Supervision in Times of Crisis, </w:t>
      </w:r>
      <w:r w:rsidR="003E03AC" w:rsidRPr="00923165">
        <w:rPr>
          <w:lang w:val="en-US"/>
        </w:rPr>
        <w:t>O</w:t>
      </w:r>
      <w:r w:rsidR="003E03AC">
        <w:rPr>
          <w:lang w:val="en-US"/>
        </w:rPr>
        <w:t xml:space="preserve">xford </w:t>
      </w:r>
      <w:r w:rsidR="003E03AC" w:rsidRPr="00923165">
        <w:rPr>
          <w:lang w:val="en-US"/>
        </w:rPr>
        <w:t>U</w:t>
      </w:r>
      <w:r w:rsidR="003E03AC">
        <w:rPr>
          <w:lang w:val="en-US"/>
        </w:rPr>
        <w:t xml:space="preserve">niversity </w:t>
      </w:r>
      <w:r w:rsidR="003E03AC" w:rsidRPr="00923165">
        <w:rPr>
          <w:lang w:val="en-US"/>
        </w:rPr>
        <w:t>P</w:t>
      </w:r>
      <w:r w:rsidR="003E03AC">
        <w:rPr>
          <w:lang w:val="en-US"/>
        </w:rPr>
        <w:t>ress</w:t>
      </w:r>
      <w:r w:rsidR="003E03AC" w:rsidRPr="00923165">
        <w:rPr>
          <w:lang w:val="en-US"/>
        </w:rPr>
        <w:t>, 2012,</w:t>
      </w:r>
      <w:r w:rsidR="000D06D2" w:rsidRPr="00632E6B">
        <w:rPr>
          <w:lang w:val="en-US"/>
        </w:rPr>
        <w:t xml:space="preserve"> 232 ss.; </w:t>
      </w:r>
      <w:proofErr w:type="spellStart"/>
      <w:r w:rsidR="000D06D2" w:rsidRPr="00632E6B">
        <w:rPr>
          <w:lang w:val="en-US"/>
        </w:rPr>
        <w:t>Quaglia</w:t>
      </w:r>
      <w:proofErr w:type="spellEnd"/>
      <w:r w:rsidR="000D06D2" w:rsidRPr="00632E6B">
        <w:rPr>
          <w:lang w:val="en-US"/>
        </w:rPr>
        <w:t xml:space="preserve">, L., The Regulatory Response of the European Union to the Global Financial Crisis, in Crisis and Control. </w:t>
      </w:r>
      <w:r w:rsidR="000D06D2" w:rsidRPr="000D06D2">
        <w:rPr>
          <w:lang w:val="en-US"/>
        </w:rPr>
        <w:t xml:space="preserve">Institutional Change in Financial Market Regulation, </w:t>
      </w:r>
      <w:proofErr w:type="spellStart"/>
      <w:r w:rsidR="000D06D2" w:rsidRPr="000D06D2">
        <w:rPr>
          <w:lang w:val="en-US"/>
        </w:rPr>
        <w:t>Mayntz</w:t>
      </w:r>
      <w:proofErr w:type="spellEnd"/>
      <w:r w:rsidR="000D06D2" w:rsidRPr="000D06D2">
        <w:rPr>
          <w:lang w:val="en-US"/>
        </w:rPr>
        <w:t xml:space="preserve">, R. (a </w:t>
      </w:r>
      <w:proofErr w:type="spellStart"/>
      <w:r w:rsidR="000D06D2" w:rsidRPr="000D06D2">
        <w:rPr>
          <w:lang w:val="en-US"/>
        </w:rPr>
        <w:t>cura</w:t>
      </w:r>
      <w:proofErr w:type="spellEnd"/>
      <w:r w:rsidR="000D06D2" w:rsidRPr="000D06D2">
        <w:rPr>
          <w:lang w:val="en-US"/>
        </w:rPr>
        <w:t xml:space="preserve"> di), Frankfurt/New York, 2012, 171 ss.</w:t>
      </w:r>
      <w:r w:rsidR="000D06D2">
        <w:rPr>
          <w:lang w:val="en-US"/>
        </w:rPr>
        <w:t xml:space="preserve">; </w:t>
      </w:r>
      <w:r w:rsidR="000D06D2" w:rsidRPr="00923165">
        <w:rPr>
          <w:lang w:val="en-US"/>
        </w:rPr>
        <w:t>de Witte, B., The European Treaty Amendment for the Creation of a Financial Stability Mechanism, 2011, RCAS Working Papers</w:t>
      </w:r>
      <w:r w:rsidR="000D06D2">
        <w:rPr>
          <w:lang w:val="en-US"/>
        </w:rPr>
        <w:t xml:space="preserve">; </w:t>
      </w:r>
      <w:proofErr w:type="spellStart"/>
      <w:r w:rsidR="000D06D2" w:rsidRPr="00923165">
        <w:rPr>
          <w:lang w:val="en-US"/>
        </w:rPr>
        <w:t>Ferran</w:t>
      </w:r>
      <w:proofErr w:type="spellEnd"/>
      <w:r w:rsidR="000D06D2" w:rsidRPr="00923165">
        <w:rPr>
          <w:lang w:val="en-US"/>
        </w:rPr>
        <w:t xml:space="preserve">, E., Understanding the New Institutional Architecture of EU Financial Market Supervision, in </w:t>
      </w:r>
      <w:proofErr w:type="spellStart"/>
      <w:r w:rsidR="000D06D2" w:rsidRPr="00923165">
        <w:rPr>
          <w:lang w:val="en-US"/>
        </w:rPr>
        <w:t>Ferrarini</w:t>
      </w:r>
      <w:proofErr w:type="spellEnd"/>
      <w:r w:rsidR="000D06D2" w:rsidRPr="00923165">
        <w:rPr>
          <w:lang w:val="en-US"/>
        </w:rPr>
        <w:t>, G.-</w:t>
      </w:r>
      <w:proofErr w:type="spellStart"/>
      <w:r w:rsidR="000D06D2" w:rsidRPr="00923165">
        <w:rPr>
          <w:lang w:val="en-US"/>
        </w:rPr>
        <w:t>Hopt</w:t>
      </w:r>
      <w:proofErr w:type="spellEnd"/>
      <w:r w:rsidR="000D06D2" w:rsidRPr="00923165">
        <w:rPr>
          <w:lang w:val="en-US"/>
        </w:rPr>
        <w:t>, K.J.-</w:t>
      </w:r>
      <w:proofErr w:type="spellStart"/>
      <w:r w:rsidR="000D06D2" w:rsidRPr="00923165">
        <w:rPr>
          <w:lang w:val="en-US"/>
        </w:rPr>
        <w:t>Wymeersch</w:t>
      </w:r>
      <w:proofErr w:type="spellEnd"/>
      <w:r w:rsidR="000D06D2" w:rsidRPr="00923165">
        <w:rPr>
          <w:lang w:val="en-US"/>
        </w:rPr>
        <w:t xml:space="preserve">, E. (a </w:t>
      </w:r>
      <w:proofErr w:type="spellStart"/>
      <w:r w:rsidR="000D06D2" w:rsidRPr="00923165">
        <w:rPr>
          <w:lang w:val="en-US"/>
        </w:rPr>
        <w:t>cura</w:t>
      </w:r>
      <w:proofErr w:type="spellEnd"/>
      <w:r w:rsidR="000D06D2" w:rsidRPr="00923165">
        <w:rPr>
          <w:lang w:val="en-US"/>
        </w:rPr>
        <w:t xml:space="preserve"> di), Rethinking Financial Regulation and Supervision in Times of Crisis, </w:t>
      </w:r>
      <w:r w:rsidR="003E03AC">
        <w:rPr>
          <w:lang w:val="en-US"/>
        </w:rPr>
        <w:t xml:space="preserve">cit., </w:t>
      </w:r>
      <w:r w:rsidR="000D06D2" w:rsidRPr="00923165">
        <w:rPr>
          <w:lang w:val="en-US"/>
        </w:rPr>
        <w:t>111-158</w:t>
      </w:r>
      <w:r w:rsidR="000D06D2">
        <w:rPr>
          <w:lang w:val="en-US"/>
        </w:rPr>
        <w:t>;</w:t>
      </w:r>
      <w:r w:rsidR="000D2419">
        <w:rPr>
          <w:lang w:val="en-US"/>
        </w:rPr>
        <w:t xml:space="preserve"> </w:t>
      </w:r>
      <w:r w:rsidR="000D2419" w:rsidRPr="000D2419">
        <w:rPr>
          <w:lang w:val="en-US"/>
        </w:rPr>
        <w:t>Everson, M., A Technology of Expertise: EU Financial Services Agencies, LEQS Paper n. 49, 2012</w:t>
      </w:r>
      <w:r w:rsidR="000D2419">
        <w:rPr>
          <w:lang w:val="en-US"/>
        </w:rPr>
        <w:t>;</w:t>
      </w:r>
      <w:r w:rsidR="003E03AC">
        <w:rPr>
          <w:lang w:val="en-US"/>
        </w:rPr>
        <w:t xml:space="preserve"> </w:t>
      </w:r>
      <w:proofErr w:type="spellStart"/>
      <w:r w:rsidR="000D06D2">
        <w:rPr>
          <w:lang w:val="en-US"/>
        </w:rPr>
        <w:t>Chiti</w:t>
      </w:r>
      <w:proofErr w:type="spellEnd"/>
      <w:r w:rsidR="000D06D2">
        <w:rPr>
          <w:lang w:val="en-US"/>
        </w:rPr>
        <w:t>,</w:t>
      </w:r>
      <w:r w:rsidR="003E03AC">
        <w:rPr>
          <w:lang w:val="en-US"/>
        </w:rPr>
        <w:t xml:space="preserve"> E.,</w:t>
      </w:r>
      <w:r w:rsidR="000D06D2">
        <w:rPr>
          <w:lang w:val="en-US"/>
        </w:rPr>
        <w:t xml:space="preserve"> Vesperini,</w:t>
      </w:r>
      <w:r w:rsidR="003E03AC">
        <w:rPr>
          <w:lang w:val="en-US"/>
        </w:rPr>
        <w:t xml:space="preserve"> G.,</w:t>
      </w:r>
      <w:r w:rsidR="000D06D2">
        <w:rPr>
          <w:lang w:val="en-US"/>
        </w:rPr>
        <w:t xml:space="preserve"> (eds.), The Administrative Architecture of Financial Integration. </w:t>
      </w:r>
      <w:proofErr w:type="spellStart"/>
      <w:r w:rsidR="000D06D2" w:rsidRPr="00183007">
        <w:t>Institutional</w:t>
      </w:r>
      <w:proofErr w:type="spellEnd"/>
      <w:r w:rsidR="000D06D2" w:rsidRPr="00183007">
        <w:t xml:space="preserve"> Design, Legal </w:t>
      </w:r>
      <w:proofErr w:type="spellStart"/>
      <w:r w:rsidR="000D06D2" w:rsidRPr="00183007">
        <w:t>issues</w:t>
      </w:r>
      <w:proofErr w:type="spellEnd"/>
      <w:r w:rsidR="000D06D2" w:rsidRPr="00183007">
        <w:t xml:space="preserve">, </w:t>
      </w:r>
      <w:proofErr w:type="spellStart"/>
      <w:r w:rsidR="000D06D2" w:rsidRPr="00183007">
        <w:t>Perspectives</w:t>
      </w:r>
      <w:proofErr w:type="spellEnd"/>
      <w:r w:rsidR="000D06D2" w:rsidRPr="00183007">
        <w:t>, Bologna, Il Mulino, 2015</w:t>
      </w:r>
      <w:r w:rsidR="000D2419" w:rsidRPr="00183007">
        <w:t>.</w:t>
      </w:r>
    </w:p>
  </w:footnote>
  <w:footnote w:id="3">
    <w:p w:rsidR="00B70721" w:rsidRDefault="00B70721" w:rsidP="00B70721">
      <w:pPr>
        <w:pStyle w:val="Testonotaapidipagina"/>
      </w:pPr>
      <w:r>
        <w:rPr>
          <w:rStyle w:val="Rimandonotaapidipagina"/>
        </w:rPr>
        <w:footnoteRef/>
      </w:r>
      <w:r>
        <w:t xml:space="preserve"> Del Gatto, S.,</w:t>
      </w:r>
      <w:r w:rsidRPr="00654890">
        <w:t xml:space="preserve"> </w:t>
      </w:r>
      <w:r>
        <w:t xml:space="preserve">Il problema dei rapporti tra la Banca centrale europea e l'Autorità bancaria europea, in Rivista trimestrale diritto pubblico, n. 4, 2015, 1221; </w:t>
      </w:r>
      <w:proofErr w:type="spellStart"/>
      <w:r>
        <w:t>Camilli</w:t>
      </w:r>
      <w:proofErr w:type="spellEnd"/>
      <w:r>
        <w:t xml:space="preserve">, E.L., The </w:t>
      </w:r>
      <w:proofErr w:type="spellStart"/>
      <w:r>
        <w:t>Governance</w:t>
      </w:r>
      <w:proofErr w:type="spellEnd"/>
      <w:r>
        <w:t xml:space="preserve"> of EU </w:t>
      </w:r>
      <w:proofErr w:type="spellStart"/>
      <w:r>
        <w:t>Regulatory</w:t>
      </w:r>
      <w:proofErr w:type="spellEnd"/>
      <w:r>
        <w:t xml:space="preserve"> </w:t>
      </w:r>
      <w:proofErr w:type="spellStart"/>
      <w:r>
        <w:t>Powers</w:t>
      </w:r>
      <w:proofErr w:type="spellEnd"/>
      <w:r>
        <w:t xml:space="preserve"> in the Banking </w:t>
      </w:r>
      <w:proofErr w:type="spellStart"/>
      <w:r>
        <w:t>sector</w:t>
      </w:r>
      <w:proofErr w:type="spellEnd"/>
      <w:r>
        <w:t xml:space="preserve">,  in  </w:t>
      </w:r>
      <w:r w:rsidRPr="00A66D46">
        <w:t>Chiti, E., Vesperini, G., (</w:t>
      </w:r>
      <w:proofErr w:type="spellStart"/>
      <w:r w:rsidRPr="00A66D46">
        <w:t>eds</w:t>
      </w:r>
      <w:proofErr w:type="spellEnd"/>
      <w:r w:rsidRPr="00A66D46">
        <w:t xml:space="preserve">.), The </w:t>
      </w:r>
      <w:proofErr w:type="spellStart"/>
      <w:r w:rsidRPr="00A66D46">
        <w:t>Administrative</w:t>
      </w:r>
      <w:proofErr w:type="spellEnd"/>
      <w:r w:rsidRPr="00A66D46">
        <w:t xml:space="preserve"> Architecture of Financial Integration, cit., </w:t>
      </w:r>
      <w:r>
        <w:t>23.</w:t>
      </w:r>
    </w:p>
  </w:footnote>
  <w:footnote w:id="4">
    <w:p w:rsidR="00D440D7" w:rsidRDefault="00D440D7">
      <w:pPr>
        <w:pStyle w:val="Testonotaapidipagina"/>
      </w:pPr>
      <w:r>
        <w:rPr>
          <w:rStyle w:val="Rimandonotaapidipagina"/>
        </w:rPr>
        <w:footnoteRef/>
      </w:r>
      <w:r>
        <w:t xml:space="preserve"> V. il considerando 1 del regolamento n. 1095/2010: “La crisi ha evidenziato gravi lacune in materia di cooperazione, coordinamento, applicazione uniforme del diritto dell’Unione</w:t>
      </w:r>
      <w:r w:rsidR="00545A2A">
        <w:t xml:space="preserve"> e fid</w:t>
      </w:r>
      <w:r>
        <w:t>ucia fra le autorità nazionali di vigilanza”.</w:t>
      </w:r>
    </w:p>
  </w:footnote>
  <w:footnote w:id="5">
    <w:p w:rsidR="004B2EAC" w:rsidRDefault="004B2EAC">
      <w:pPr>
        <w:pStyle w:val="Testonotaapidipagina"/>
      </w:pPr>
      <w:r>
        <w:rPr>
          <w:rStyle w:val="Rimandonotaapidipagina"/>
        </w:rPr>
        <w:footnoteRef/>
      </w:r>
      <w:r w:rsidR="006F0BCC">
        <w:t xml:space="preserve"> Secondo i regolamenti istitutivi, tutte le autorità devono agire nell’interesse complessivo dell’Unione e non devono cercare o ricevere </w:t>
      </w:r>
      <w:r w:rsidR="003E03AC">
        <w:t>istruzioni da istituzioni dell’U</w:t>
      </w:r>
      <w:r w:rsidR="006F0BCC">
        <w:t xml:space="preserve">nione, dai governi degli </w:t>
      </w:r>
      <w:r w:rsidR="003E03AC">
        <w:t>S</w:t>
      </w:r>
      <w:r w:rsidR="006F0BCC">
        <w:t>tati membri o da ogni altro ente pubblico o privato.</w:t>
      </w:r>
    </w:p>
  </w:footnote>
  <w:footnote w:id="6">
    <w:p w:rsidR="004B2EAC" w:rsidRDefault="004B2EAC">
      <w:pPr>
        <w:pStyle w:val="Testonotaapidipagina"/>
      </w:pPr>
      <w:r>
        <w:rPr>
          <w:rStyle w:val="Rimandonotaapidipagina"/>
        </w:rPr>
        <w:footnoteRef/>
      </w:r>
      <w:r>
        <w:t xml:space="preserve"> </w:t>
      </w:r>
      <w:r w:rsidR="007D3D6F" w:rsidRPr="003E03AC">
        <w:t>Corte di giustizia, Grande Sezione, 22 gennaio 2014, causa C-270/12; Corte di giustizia, sentenza 16 giugno 2015, causa C-62/14.</w:t>
      </w:r>
      <w:r w:rsidR="006F0BCC">
        <w:t xml:space="preserve"> I requisiti per la nomina dei componenti delle autorità sono prevalente</w:t>
      </w:r>
      <w:r w:rsidR="00545A2A">
        <w:t>mente basa</w:t>
      </w:r>
      <w:r w:rsidR="003E03AC">
        <w:t>t</w:t>
      </w:r>
      <w:r w:rsidR="00545A2A">
        <w:t>i sull’</w:t>
      </w:r>
      <w:r w:rsidR="006F0BCC">
        <w:t xml:space="preserve">esperienza e </w:t>
      </w:r>
      <w:r w:rsidR="00545A2A">
        <w:t xml:space="preserve">sulla </w:t>
      </w:r>
      <w:r w:rsidR="006F0BCC">
        <w:t xml:space="preserve">capacità tecnica. Sulle differenze fra le diverse autorità </w:t>
      </w:r>
      <w:r w:rsidR="003E03AC">
        <w:t xml:space="preserve">sotto questo profilo </w:t>
      </w:r>
      <w:r w:rsidR="006F0BCC">
        <w:t xml:space="preserve">v. De Bellis, </w:t>
      </w:r>
      <w:r w:rsidR="003E03AC">
        <w:t xml:space="preserve">M., </w:t>
      </w:r>
      <w:proofErr w:type="spellStart"/>
      <w:r w:rsidR="006F0BCC">
        <w:t>European</w:t>
      </w:r>
      <w:proofErr w:type="spellEnd"/>
      <w:r w:rsidR="006F0BCC">
        <w:t xml:space="preserve"> Financial </w:t>
      </w:r>
      <w:proofErr w:type="spellStart"/>
      <w:r w:rsidR="006F0BCC">
        <w:t>Supervision</w:t>
      </w:r>
      <w:proofErr w:type="spellEnd"/>
      <w:r w:rsidR="006F0BCC">
        <w:t xml:space="preserve"> after the </w:t>
      </w:r>
      <w:proofErr w:type="spellStart"/>
      <w:r w:rsidR="006F0BCC">
        <w:t>Crisi</w:t>
      </w:r>
      <w:r w:rsidR="00456F24">
        <w:t>s</w:t>
      </w:r>
      <w:proofErr w:type="spellEnd"/>
      <w:r w:rsidR="006F0BCC">
        <w:t>: Multi-</w:t>
      </w:r>
      <w:proofErr w:type="spellStart"/>
      <w:r w:rsidR="006F0BCC">
        <w:t>Speed</w:t>
      </w:r>
      <w:proofErr w:type="spellEnd"/>
      <w:r w:rsidR="006F0BCC">
        <w:t xml:space="preserve"> </w:t>
      </w:r>
      <w:proofErr w:type="spellStart"/>
      <w:r w:rsidR="006F0BCC">
        <w:t>Models</w:t>
      </w:r>
      <w:proofErr w:type="spellEnd"/>
      <w:r w:rsidR="006F0BCC">
        <w:t xml:space="preserve"> </w:t>
      </w:r>
      <w:proofErr w:type="spellStart"/>
      <w:r w:rsidR="006F0BCC">
        <w:t>within</w:t>
      </w:r>
      <w:proofErr w:type="spellEnd"/>
      <w:r w:rsidR="006F0BCC">
        <w:t xml:space="preserve"> a </w:t>
      </w:r>
      <w:proofErr w:type="spellStart"/>
      <w:r w:rsidR="006F0BCC">
        <w:t>Two-Track</w:t>
      </w:r>
      <w:proofErr w:type="spellEnd"/>
      <w:r w:rsidR="006F0BCC">
        <w:t xml:space="preserve"> Framework, in Chiti,</w:t>
      </w:r>
      <w:r w:rsidR="003E03AC">
        <w:t xml:space="preserve"> E., Vesperini, G., (</w:t>
      </w:r>
      <w:proofErr w:type="spellStart"/>
      <w:r w:rsidR="003E03AC">
        <w:t>eds</w:t>
      </w:r>
      <w:proofErr w:type="spellEnd"/>
      <w:r w:rsidR="003E03AC">
        <w:t xml:space="preserve">.), The </w:t>
      </w:r>
      <w:proofErr w:type="spellStart"/>
      <w:r w:rsidR="003E03AC">
        <w:t>Administrative</w:t>
      </w:r>
      <w:proofErr w:type="spellEnd"/>
      <w:r w:rsidR="003E03AC">
        <w:t xml:space="preserve"> Architecture, cit.</w:t>
      </w:r>
      <w:r w:rsidR="006F0BCC">
        <w:t xml:space="preserve"> 81 </w:t>
      </w:r>
      <w:proofErr w:type="spellStart"/>
      <w:r w:rsidR="006F0BCC">
        <w:t>ss</w:t>
      </w:r>
      <w:proofErr w:type="spellEnd"/>
    </w:p>
  </w:footnote>
  <w:footnote w:id="7">
    <w:p w:rsidR="00545A2A" w:rsidRPr="008F507A" w:rsidRDefault="00545A2A">
      <w:pPr>
        <w:pStyle w:val="Testonotaapidipagina"/>
        <w:rPr>
          <w:lang w:val="en-US"/>
        </w:rPr>
      </w:pPr>
      <w:r>
        <w:rPr>
          <w:rStyle w:val="Rimandonotaapidipagina"/>
        </w:rPr>
        <w:footnoteRef/>
      </w:r>
      <w:r w:rsidRPr="008F507A">
        <w:rPr>
          <w:lang w:val="en-US"/>
        </w:rPr>
        <w:t xml:space="preserve"> </w:t>
      </w:r>
      <w:r w:rsidR="0080066C">
        <w:rPr>
          <w:lang w:val="en-US"/>
        </w:rPr>
        <w:t xml:space="preserve">V. </w:t>
      </w:r>
      <w:r w:rsidR="008F507A" w:rsidRPr="008F507A">
        <w:rPr>
          <w:lang w:val="en-US"/>
        </w:rPr>
        <w:t xml:space="preserve">van </w:t>
      </w:r>
      <w:proofErr w:type="spellStart"/>
      <w:r w:rsidR="008F507A" w:rsidRPr="008F507A">
        <w:rPr>
          <w:lang w:val="en-US"/>
        </w:rPr>
        <w:t>Cleynenbreugel</w:t>
      </w:r>
      <w:proofErr w:type="spellEnd"/>
      <w:r w:rsidR="008F507A" w:rsidRPr="008F507A">
        <w:rPr>
          <w:lang w:val="en-US"/>
        </w:rPr>
        <w:t>,</w:t>
      </w:r>
      <w:r w:rsidR="0080066C">
        <w:rPr>
          <w:lang w:val="en-US"/>
        </w:rPr>
        <w:t xml:space="preserve"> V.,</w:t>
      </w:r>
      <w:r w:rsidR="008F507A" w:rsidRPr="008F507A">
        <w:rPr>
          <w:lang w:val="en-US"/>
        </w:rPr>
        <w:t xml:space="preserve"> </w:t>
      </w:r>
      <w:r w:rsidR="003E03AC">
        <w:rPr>
          <w:lang w:val="en-US"/>
        </w:rPr>
        <w:t xml:space="preserve">P., </w:t>
      </w:r>
      <w:r w:rsidR="008F507A" w:rsidRPr="008F507A">
        <w:rPr>
          <w:lang w:val="en-US"/>
        </w:rPr>
        <w:t xml:space="preserve">Market Supervision in the European Union. </w:t>
      </w:r>
      <w:r w:rsidR="008F507A">
        <w:rPr>
          <w:lang w:val="en-US"/>
        </w:rPr>
        <w:t>Integrated Administration in Constitutional Contex</w:t>
      </w:r>
      <w:r w:rsidR="003E03AC">
        <w:rPr>
          <w:lang w:val="en-US"/>
        </w:rPr>
        <w:t>t, Leiden/Boston, 2014, passim.</w:t>
      </w:r>
    </w:p>
  </w:footnote>
  <w:footnote w:id="8">
    <w:p w:rsidR="008F507A" w:rsidRPr="008F507A" w:rsidRDefault="008F507A">
      <w:pPr>
        <w:pStyle w:val="Testonotaapidipagina"/>
        <w:rPr>
          <w:lang w:val="en-US"/>
        </w:rPr>
      </w:pPr>
      <w:r>
        <w:rPr>
          <w:rStyle w:val="Rimandonotaapidipagina"/>
        </w:rPr>
        <w:footnoteRef/>
      </w:r>
      <w:r w:rsidRPr="008F507A">
        <w:rPr>
          <w:lang w:val="en-US"/>
        </w:rPr>
        <w:t xml:space="preserve"> V. </w:t>
      </w:r>
      <w:proofErr w:type="spellStart"/>
      <w:r w:rsidRPr="008F507A">
        <w:rPr>
          <w:lang w:val="en-US"/>
        </w:rPr>
        <w:t>Gargantini</w:t>
      </w:r>
      <w:proofErr w:type="spellEnd"/>
      <w:r w:rsidRPr="008F507A">
        <w:rPr>
          <w:lang w:val="en-US"/>
        </w:rPr>
        <w:t xml:space="preserve">, </w:t>
      </w:r>
      <w:r w:rsidR="0080066C">
        <w:rPr>
          <w:lang w:val="en-US"/>
        </w:rPr>
        <w:t xml:space="preserve">M., </w:t>
      </w:r>
      <w:r w:rsidRPr="008F507A">
        <w:rPr>
          <w:lang w:val="en-US"/>
        </w:rPr>
        <w:t xml:space="preserve">Di </w:t>
      </w:r>
      <w:proofErr w:type="spellStart"/>
      <w:r w:rsidRPr="008F507A">
        <w:rPr>
          <w:lang w:val="en-US"/>
        </w:rPr>
        <w:t>Noia</w:t>
      </w:r>
      <w:proofErr w:type="spellEnd"/>
      <w:r w:rsidRPr="008F507A">
        <w:rPr>
          <w:lang w:val="en-US"/>
        </w:rPr>
        <w:t>,</w:t>
      </w:r>
      <w:r w:rsidR="0080066C">
        <w:rPr>
          <w:lang w:val="en-US"/>
        </w:rPr>
        <w:t xml:space="preserve"> C.,</w:t>
      </w:r>
      <w:r w:rsidRPr="008F507A">
        <w:rPr>
          <w:lang w:val="en-US"/>
        </w:rPr>
        <w:t xml:space="preserve"> The European Securities and Market Authority: Accountability towards EU Institutions and Stakeholders, in P. </w:t>
      </w:r>
      <w:r>
        <w:rPr>
          <w:lang w:val="en-US"/>
        </w:rPr>
        <w:t xml:space="preserve">Iglesias Rodriguez  (ed.), Building Responsive and Responsible Financial Regulators in the Aftermath of the Financial Crisis, Cambridge, </w:t>
      </w:r>
      <w:proofErr w:type="spellStart"/>
      <w:r>
        <w:rPr>
          <w:lang w:val="en-US"/>
        </w:rPr>
        <w:t>Intersentia</w:t>
      </w:r>
      <w:proofErr w:type="spellEnd"/>
      <w:r>
        <w:rPr>
          <w:lang w:val="en-US"/>
        </w:rPr>
        <w:t xml:space="preserve">, 2015, 115; </w:t>
      </w:r>
      <w:proofErr w:type="spellStart"/>
      <w:r w:rsidR="00C92DD3">
        <w:rPr>
          <w:lang w:val="en-US"/>
        </w:rPr>
        <w:t>Moloney</w:t>
      </w:r>
      <w:proofErr w:type="spellEnd"/>
      <w:r w:rsidR="00C92DD3">
        <w:rPr>
          <w:lang w:val="en-US"/>
        </w:rPr>
        <w:t xml:space="preserve">, </w:t>
      </w:r>
      <w:proofErr w:type="spellStart"/>
      <w:r w:rsidR="0080066C">
        <w:rPr>
          <w:lang w:val="en-US"/>
        </w:rPr>
        <w:t>N.,</w:t>
      </w:r>
      <w:r w:rsidR="00C92DD3">
        <w:rPr>
          <w:lang w:val="en-US"/>
        </w:rPr>
        <w:t>The</w:t>
      </w:r>
      <w:proofErr w:type="spellEnd"/>
      <w:r w:rsidR="00C92DD3">
        <w:rPr>
          <w:lang w:val="en-US"/>
        </w:rPr>
        <w:t xml:space="preserve"> European Securities and Market Authority and Institutional design for the EU financial market – a tale of two competences: rules in action. in European Business Organization Law review, vol 12, 177; </w:t>
      </w:r>
      <w:proofErr w:type="spellStart"/>
      <w:r w:rsidR="00C92DD3">
        <w:rPr>
          <w:lang w:val="en-US"/>
        </w:rPr>
        <w:t>Kuile</w:t>
      </w:r>
      <w:proofErr w:type="spellEnd"/>
      <w:r w:rsidR="00C92DD3">
        <w:rPr>
          <w:lang w:val="en-US"/>
        </w:rPr>
        <w:t>,</w:t>
      </w:r>
      <w:r w:rsidR="0080066C">
        <w:rPr>
          <w:lang w:val="en-US"/>
        </w:rPr>
        <w:t xml:space="preserve"> G.,</w:t>
      </w:r>
      <w:r w:rsidR="00C92DD3">
        <w:rPr>
          <w:lang w:val="en-US"/>
        </w:rPr>
        <w:t xml:space="preserve"> </w:t>
      </w:r>
      <w:proofErr w:type="spellStart"/>
      <w:r w:rsidR="00C92DD3">
        <w:rPr>
          <w:lang w:val="en-US"/>
        </w:rPr>
        <w:t>Wissinik</w:t>
      </w:r>
      <w:proofErr w:type="spellEnd"/>
      <w:r w:rsidR="00C92DD3">
        <w:rPr>
          <w:lang w:val="en-US"/>
        </w:rPr>
        <w:t>,</w:t>
      </w:r>
      <w:r w:rsidR="0080066C">
        <w:rPr>
          <w:lang w:val="en-US"/>
        </w:rPr>
        <w:t xml:space="preserve"> L.,</w:t>
      </w:r>
      <w:r w:rsidR="00C92DD3">
        <w:rPr>
          <w:lang w:val="en-US"/>
        </w:rPr>
        <w:t xml:space="preserve"> </w:t>
      </w:r>
      <w:proofErr w:type="spellStart"/>
      <w:r w:rsidR="00C92DD3">
        <w:rPr>
          <w:lang w:val="en-US"/>
        </w:rPr>
        <w:t>Bovenschen</w:t>
      </w:r>
      <w:proofErr w:type="spellEnd"/>
      <w:r w:rsidR="00C92DD3">
        <w:rPr>
          <w:lang w:val="en-US"/>
        </w:rPr>
        <w:t xml:space="preserve">, </w:t>
      </w:r>
      <w:r w:rsidR="0080066C">
        <w:rPr>
          <w:lang w:val="en-US"/>
        </w:rPr>
        <w:t xml:space="preserve">W., </w:t>
      </w:r>
      <w:r w:rsidR="00C92DD3">
        <w:rPr>
          <w:lang w:val="en-US"/>
        </w:rPr>
        <w:t>Tai</w:t>
      </w:r>
      <w:r w:rsidR="0080066C">
        <w:rPr>
          <w:lang w:val="en-US"/>
        </w:rPr>
        <w:t>l</w:t>
      </w:r>
      <w:r w:rsidR="00C92DD3">
        <w:rPr>
          <w:lang w:val="en-US"/>
        </w:rPr>
        <w:t>or-made accountability within the Single Supervisory Mechanism, in Common Market Law Review, n. 52, 2015, 155.</w:t>
      </w:r>
    </w:p>
  </w:footnote>
  <w:footnote w:id="9">
    <w:p w:rsidR="00C92DD3" w:rsidRDefault="00C92DD3">
      <w:pPr>
        <w:pStyle w:val="Testonotaapidipagina"/>
      </w:pPr>
      <w:r>
        <w:rPr>
          <w:rStyle w:val="Rimandonotaapidipagina"/>
        </w:rPr>
        <w:footnoteRef/>
      </w:r>
      <w:r>
        <w:t xml:space="preserve"> Del gruppo fanno parte rappresentanti degli operatori, dei consumatori e degli utenti, oltre a studiosi ed esperti.</w:t>
      </w:r>
    </w:p>
  </w:footnote>
  <w:footnote w:id="10">
    <w:p w:rsidR="003C3097" w:rsidRPr="00C169AA" w:rsidRDefault="003C3097">
      <w:pPr>
        <w:pStyle w:val="Testonotaapidipagina"/>
        <w:rPr>
          <w:lang w:val="en-US"/>
        </w:rPr>
      </w:pPr>
      <w:r>
        <w:rPr>
          <w:rStyle w:val="Rimandonotaapidipagina"/>
        </w:rPr>
        <w:footnoteRef/>
      </w:r>
      <w:r w:rsidRPr="00C169AA">
        <w:rPr>
          <w:lang w:val="en-US"/>
        </w:rPr>
        <w:t xml:space="preserve"> </w:t>
      </w:r>
      <w:r w:rsidR="00C92DD3" w:rsidRPr="00C169AA">
        <w:rPr>
          <w:lang w:val="en-US"/>
        </w:rPr>
        <w:t>V</w:t>
      </w:r>
      <w:r w:rsidRPr="00C169AA">
        <w:rPr>
          <w:lang w:val="en-US"/>
        </w:rPr>
        <w:t xml:space="preserve">. </w:t>
      </w:r>
      <w:proofErr w:type="spellStart"/>
      <w:r w:rsidRPr="00C169AA">
        <w:rPr>
          <w:lang w:val="en-US"/>
        </w:rPr>
        <w:t>gli</w:t>
      </w:r>
      <w:proofErr w:type="spellEnd"/>
      <w:r w:rsidRPr="00C169AA">
        <w:rPr>
          <w:lang w:val="en-US"/>
        </w:rPr>
        <w:t xml:space="preserve"> Opening remarks di A. </w:t>
      </w:r>
      <w:proofErr w:type="spellStart"/>
      <w:r w:rsidRPr="00C169AA">
        <w:rPr>
          <w:lang w:val="en-US"/>
        </w:rPr>
        <w:t>Enria</w:t>
      </w:r>
      <w:proofErr w:type="spellEnd"/>
      <w:r w:rsidRPr="00C169AA">
        <w:rPr>
          <w:lang w:val="en-US"/>
        </w:rPr>
        <w:t xml:space="preserve"> </w:t>
      </w:r>
      <w:proofErr w:type="spellStart"/>
      <w:r w:rsidRPr="00C169AA">
        <w:rPr>
          <w:lang w:val="en-US"/>
        </w:rPr>
        <w:t>nell’Eba</w:t>
      </w:r>
      <w:proofErr w:type="spellEnd"/>
      <w:r w:rsidRPr="00C169AA">
        <w:rPr>
          <w:lang w:val="en-US"/>
        </w:rPr>
        <w:t xml:space="preserve"> proportionality worksh</w:t>
      </w:r>
      <w:r w:rsidR="00C169AA" w:rsidRPr="00C169AA">
        <w:rPr>
          <w:lang w:val="en-US"/>
        </w:rPr>
        <w:t>o</w:t>
      </w:r>
      <w:r w:rsidRPr="00C169AA">
        <w:rPr>
          <w:lang w:val="en-US"/>
        </w:rPr>
        <w:t>p, 3.7.2015, www.eba.eu</w:t>
      </w:r>
    </w:p>
  </w:footnote>
  <w:footnote w:id="11">
    <w:p w:rsidR="00050848" w:rsidRDefault="00050848">
      <w:pPr>
        <w:pStyle w:val="Testonotaapidipagina"/>
      </w:pPr>
      <w:r>
        <w:rPr>
          <w:rStyle w:val="Rimandonotaapidipagina"/>
        </w:rPr>
        <w:footnoteRef/>
      </w:r>
      <w:r>
        <w:t xml:space="preserve"> Si tratta di atti delegati ex art. 290 TFUE o di atti di esecuzione ex art. 291 TFUE.</w:t>
      </w:r>
    </w:p>
  </w:footnote>
  <w:footnote w:id="12">
    <w:p w:rsidR="00050848" w:rsidRDefault="00050848">
      <w:pPr>
        <w:pStyle w:val="Testonotaapidipagina"/>
      </w:pPr>
      <w:r>
        <w:rPr>
          <w:rStyle w:val="Rimandonotaapidipagina"/>
        </w:rPr>
        <w:footnoteRef/>
      </w:r>
      <w:r>
        <w:t xml:space="preserve"> </w:t>
      </w:r>
      <w:r w:rsidR="005B1FA5">
        <w:t>V. l’a</w:t>
      </w:r>
      <w:r>
        <w:t xml:space="preserve">rt. 10, c. 1 e </w:t>
      </w:r>
      <w:r w:rsidR="005B1FA5">
        <w:t>l’</w:t>
      </w:r>
      <w:r>
        <w:t>art. 15, c. 1 dei regolamenti istitutivi.</w:t>
      </w:r>
    </w:p>
  </w:footnote>
  <w:footnote w:id="13">
    <w:p w:rsidR="009C3556" w:rsidRPr="009C3556" w:rsidRDefault="009C3556">
      <w:pPr>
        <w:pStyle w:val="Testonotaapidipagina"/>
      </w:pPr>
      <w:r>
        <w:rPr>
          <w:rStyle w:val="Rimandonotaapidipagina"/>
        </w:rPr>
        <w:footnoteRef/>
      </w:r>
      <w:r w:rsidRPr="009C3556">
        <w:t xml:space="preserve"> La disciplina di questi poteri è contenuta negli articoli 17, 18 e 19 dei regolamenti istitutivi di ciascuna autorità.</w:t>
      </w:r>
    </w:p>
  </w:footnote>
  <w:footnote w:id="14">
    <w:p w:rsidR="004B2EAC" w:rsidRPr="00320D84" w:rsidRDefault="004B2EAC" w:rsidP="007B48FE">
      <w:pPr>
        <w:pStyle w:val="Testonotaapidipagina"/>
        <w:rPr>
          <w:lang w:val="en-US"/>
        </w:rPr>
      </w:pPr>
      <w:r>
        <w:rPr>
          <w:rStyle w:val="Rimandonotaapidipagina"/>
        </w:rPr>
        <w:footnoteRef/>
      </w:r>
      <w:r w:rsidRPr="00320D84">
        <w:rPr>
          <w:lang w:val="en-US"/>
        </w:rPr>
        <w:t xml:space="preserve"> </w:t>
      </w:r>
      <w:proofErr w:type="spellStart"/>
      <w:r w:rsidR="00320D84" w:rsidRPr="00320D84">
        <w:rPr>
          <w:lang w:val="en-US"/>
        </w:rPr>
        <w:t>Assumendo</w:t>
      </w:r>
      <w:proofErr w:type="spellEnd"/>
      <w:r w:rsidR="00320D84" w:rsidRPr="00320D84">
        <w:rPr>
          <w:lang w:val="en-US"/>
        </w:rPr>
        <w:t xml:space="preserve"> </w:t>
      </w:r>
      <w:proofErr w:type="spellStart"/>
      <w:r w:rsidR="00320D84" w:rsidRPr="00320D84">
        <w:rPr>
          <w:lang w:val="en-US"/>
        </w:rPr>
        <w:t>così</w:t>
      </w:r>
      <w:proofErr w:type="spellEnd"/>
      <w:r w:rsidR="00320D84" w:rsidRPr="00320D84">
        <w:rPr>
          <w:lang w:val="en-US"/>
        </w:rPr>
        <w:t xml:space="preserve"> </w:t>
      </w:r>
      <w:proofErr w:type="spellStart"/>
      <w:r w:rsidR="00320D84" w:rsidRPr="00320D84">
        <w:rPr>
          <w:lang w:val="en-US"/>
        </w:rPr>
        <w:t>il</w:t>
      </w:r>
      <w:proofErr w:type="spellEnd"/>
      <w:r w:rsidR="00320D84" w:rsidRPr="00320D84">
        <w:rPr>
          <w:lang w:val="en-US"/>
        </w:rPr>
        <w:t xml:space="preserve"> </w:t>
      </w:r>
      <w:proofErr w:type="spellStart"/>
      <w:r w:rsidR="00320D84" w:rsidRPr="00320D84">
        <w:rPr>
          <w:lang w:val="en-US"/>
        </w:rPr>
        <w:t>ruolo</w:t>
      </w:r>
      <w:proofErr w:type="spellEnd"/>
      <w:r w:rsidR="00320D84" w:rsidRPr="00320D84">
        <w:rPr>
          <w:lang w:val="en-US"/>
        </w:rPr>
        <w:t xml:space="preserve"> di “de facto rule makers”, secondo </w:t>
      </w:r>
      <w:proofErr w:type="spellStart"/>
      <w:r w:rsidR="00320D84" w:rsidRPr="00320D84">
        <w:rPr>
          <w:lang w:val="en-US"/>
        </w:rPr>
        <w:t>Busuioc</w:t>
      </w:r>
      <w:proofErr w:type="spellEnd"/>
      <w:r w:rsidR="00320D84" w:rsidRPr="00320D84">
        <w:rPr>
          <w:lang w:val="en-US"/>
        </w:rPr>
        <w:t xml:space="preserve">, </w:t>
      </w:r>
      <w:r w:rsidR="00822E1D">
        <w:rPr>
          <w:lang w:val="en-US"/>
        </w:rPr>
        <w:t xml:space="preserve">M., </w:t>
      </w:r>
      <w:r w:rsidR="00320D84" w:rsidRPr="00320D84">
        <w:rPr>
          <w:lang w:val="en-US"/>
        </w:rPr>
        <w:t>Rule</w:t>
      </w:r>
      <w:r w:rsidR="00822E1D">
        <w:rPr>
          <w:lang w:val="en-US"/>
        </w:rPr>
        <w:t>-</w:t>
      </w:r>
      <w:r w:rsidR="00320D84" w:rsidRPr="00320D84">
        <w:rPr>
          <w:lang w:val="en-US"/>
        </w:rPr>
        <w:t>making by the European Financial Supervisory Authorities: Walkin</w:t>
      </w:r>
      <w:r w:rsidR="00320D84">
        <w:rPr>
          <w:lang w:val="en-US"/>
        </w:rPr>
        <w:t>g</w:t>
      </w:r>
      <w:r w:rsidR="00320D84" w:rsidRPr="00320D84">
        <w:rPr>
          <w:lang w:val="en-US"/>
        </w:rPr>
        <w:t xml:space="preserve"> a Tight Rope, European Law Journal, 19, 2013, 111.</w:t>
      </w:r>
    </w:p>
  </w:footnote>
  <w:footnote w:id="15">
    <w:p w:rsidR="000227F3" w:rsidRPr="000227F3" w:rsidRDefault="000227F3">
      <w:pPr>
        <w:pStyle w:val="Testonotaapidipagina"/>
        <w:rPr>
          <w:lang w:val="en-US"/>
        </w:rPr>
      </w:pPr>
      <w:r>
        <w:rPr>
          <w:rStyle w:val="Rimandonotaapidipagina"/>
        </w:rPr>
        <w:footnoteRef/>
      </w:r>
      <w:r w:rsidRPr="000227F3">
        <w:rPr>
          <w:lang w:val="en-US"/>
        </w:rPr>
        <w:t xml:space="preserve"> V. Weismann, </w:t>
      </w:r>
      <w:r w:rsidR="00822E1D">
        <w:rPr>
          <w:lang w:val="en-US"/>
        </w:rPr>
        <w:t xml:space="preserve">P., </w:t>
      </w:r>
      <w:r w:rsidRPr="000227F3">
        <w:rPr>
          <w:lang w:val="en-US"/>
        </w:rPr>
        <w:t>The European financial market supervisory authorities and the</w:t>
      </w:r>
      <w:r>
        <w:rPr>
          <w:lang w:val="en-US"/>
        </w:rPr>
        <w:t>ir power to issue binding decisions, Journal of International Banking Law and Regulation, 27, 2012, 495.</w:t>
      </w:r>
    </w:p>
  </w:footnote>
  <w:footnote w:id="16">
    <w:p w:rsidR="00063E81" w:rsidRPr="004256FE" w:rsidRDefault="00063E81" w:rsidP="00063E81">
      <w:pPr>
        <w:pStyle w:val="Testonotaapidipagina"/>
        <w:rPr>
          <w:lang w:val="en-GB"/>
        </w:rPr>
      </w:pPr>
      <w:r w:rsidRPr="004256FE">
        <w:rPr>
          <w:rStyle w:val="Rimandonotaapidipagina"/>
          <w:lang w:val="en-US"/>
        </w:rPr>
        <w:footnoteRef/>
      </w:r>
      <w:r w:rsidRPr="004256FE">
        <w:rPr>
          <w:lang w:val="en-US"/>
        </w:rPr>
        <w:t xml:space="preserve"> </w:t>
      </w:r>
      <w:r>
        <w:rPr>
          <w:lang w:val="en-US"/>
        </w:rPr>
        <w:t xml:space="preserve">V. </w:t>
      </w:r>
      <w:proofErr w:type="spellStart"/>
      <w:r w:rsidR="00822E1D">
        <w:rPr>
          <w:lang w:val="en-US"/>
        </w:rPr>
        <w:t>i</w:t>
      </w:r>
      <w:proofErr w:type="spellEnd"/>
      <w:r>
        <w:rPr>
          <w:lang w:val="en-US"/>
        </w:rPr>
        <w:t xml:space="preserve"> </w:t>
      </w:r>
      <w:proofErr w:type="spellStart"/>
      <w:r>
        <w:rPr>
          <w:lang w:val="en-US"/>
        </w:rPr>
        <w:t>dati</w:t>
      </w:r>
      <w:proofErr w:type="spellEnd"/>
      <w:r>
        <w:rPr>
          <w:lang w:val="en-US"/>
        </w:rPr>
        <w:t xml:space="preserve"> </w:t>
      </w:r>
      <w:proofErr w:type="spellStart"/>
      <w:r>
        <w:rPr>
          <w:lang w:val="en-US"/>
        </w:rPr>
        <w:t>forniti</w:t>
      </w:r>
      <w:proofErr w:type="spellEnd"/>
      <w:r>
        <w:rPr>
          <w:lang w:val="en-US"/>
        </w:rPr>
        <w:t xml:space="preserve"> in </w:t>
      </w:r>
      <w:proofErr w:type="spellStart"/>
      <w:r w:rsidRPr="004256FE">
        <w:rPr>
          <w:lang w:val="en-US"/>
        </w:rPr>
        <w:t>Commissione</w:t>
      </w:r>
      <w:proofErr w:type="spellEnd"/>
      <w:r w:rsidRPr="004256FE">
        <w:rPr>
          <w:lang w:val="en-US"/>
        </w:rPr>
        <w:t xml:space="preserve"> </w:t>
      </w:r>
      <w:proofErr w:type="spellStart"/>
      <w:r w:rsidRPr="004256FE">
        <w:rPr>
          <w:lang w:val="en-US"/>
        </w:rPr>
        <w:t>Ue</w:t>
      </w:r>
      <w:proofErr w:type="spellEnd"/>
      <w:r w:rsidRPr="004256FE">
        <w:rPr>
          <w:lang w:val="en-US"/>
        </w:rPr>
        <w:t xml:space="preserve">, </w:t>
      </w:r>
      <w:r w:rsidRPr="004256FE">
        <w:rPr>
          <w:i/>
          <w:lang w:val="en-US"/>
        </w:rPr>
        <w:t>Report from the Commission to the European Parliament and the Council on the operation of the European Supervisory Authorities (ESAs) and the European System of Financial Supervision (ESFS)</w:t>
      </w:r>
      <w:r w:rsidRPr="004256FE">
        <w:rPr>
          <w:lang w:val="en-US"/>
        </w:rPr>
        <w:t xml:space="preserve">, 8 </w:t>
      </w:r>
      <w:r>
        <w:rPr>
          <w:lang w:val="en-US"/>
        </w:rPr>
        <w:t>Agosto</w:t>
      </w:r>
      <w:r w:rsidRPr="004256FE">
        <w:rPr>
          <w:lang w:val="en-US"/>
        </w:rPr>
        <w:t xml:space="preserve"> 2014, COM(2014) 509 final, Brussels, pp. 6-7. </w:t>
      </w:r>
    </w:p>
  </w:footnote>
  <w:footnote w:id="17">
    <w:p w:rsidR="00822E1D" w:rsidRDefault="00822E1D" w:rsidP="00822E1D">
      <w:pPr>
        <w:pStyle w:val="Testonotaapidipagina"/>
      </w:pPr>
      <w:r>
        <w:rPr>
          <w:rStyle w:val="Rimandonotaapidipagina"/>
        </w:rPr>
        <w:footnoteRef/>
      </w:r>
      <w:r>
        <w:t xml:space="preserve"> Sui profili generali v. Clarich, M.,  I poteri di vigilanza della Banca Centrale Europea, Diritto pubblico, 2013, 975; </w:t>
      </w:r>
      <w:proofErr w:type="spellStart"/>
      <w:r>
        <w:t>Cassese</w:t>
      </w:r>
      <w:proofErr w:type="spellEnd"/>
      <w:r>
        <w:t xml:space="preserve">, S., </w:t>
      </w:r>
      <w:r w:rsidRPr="00A05052">
        <w:t>La nuova architettura europea, in Giornale di diritto amministrativo, 2014, p. 79</w:t>
      </w:r>
      <w:r>
        <w:t xml:space="preserve">; Torchia, L., </w:t>
      </w:r>
      <w:r w:rsidRPr="00822E1D">
        <w:t>L’Unione bancaria europea: un approccio continentale?, in Giornale di dir</w:t>
      </w:r>
      <w:r>
        <w:t xml:space="preserve">itto amministrativo, n. 1, 2015; Macchia, M., </w:t>
      </w:r>
      <w:r w:rsidRPr="00822E1D">
        <w:t>L’architettura europea dell’unione bancaria tra tecnica e politica, in Rivista italiana di diritto pubblico comunitario, n. 6, 2015</w:t>
      </w:r>
      <w:r>
        <w:t>.</w:t>
      </w:r>
    </w:p>
  </w:footnote>
  <w:footnote w:id="18">
    <w:p w:rsidR="00F81553" w:rsidRDefault="00F81553" w:rsidP="00F81553">
      <w:pPr>
        <w:pStyle w:val="Testonotaapidipagina"/>
      </w:pPr>
      <w:r>
        <w:rPr>
          <w:rStyle w:val="Rimandonotaapidipagina"/>
        </w:rPr>
        <w:footnoteRef/>
      </w:r>
      <w:r w:rsidR="00A62EDE">
        <w:t xml:space="preserve"> </w:t>
      </w:r>
      <w:proofErr w:type="spellStart"/>
      <w:r w:rsidRPr="00A05052">
        <w:t>Guarracino</w:t>
      </w:r>
      <w:proofErr w:type="spellEnd"/>
      <w:r w:rsidRPr="00A05052">
        <w:t>,</w:t>
      </w:r>
      <w:r w:rsidR="00A62EDE">
        <w:t xml:space="preserve"> F.,</w:t>
      </w:r>
      <w:r w:rsidRPr="00A05052">
        <w:t xml:space="preserve"> Le procedure “comuni” nel meccanismo di vigilanza unico sugli enti creditizi: profili sostanziali e giurisdizionali, in Rivista trimestrale di diritto dell’economia, n. 4, 2014, pp. 252 </w:t>
      </w:r>
      <w:proofErr w:type="spellStart"/>
      <w:r w:rsidRPr="00A05052">
        <w:t>ss</w:t>
      </w:r>
      <w:proofErr w:type="spellEnd"/>
    </w:p>
  </w:footnote>
  <w:footnote w:id="19">
    <w:p w:rsidR="003B24BA" w:rsidRPr="003E03AC" w:rsidRDefault="003B24BA" w:rsidP="003B24BA">
      <w:pPr>
        <w:pStyle w:val="Testonotaapidipagina"/>
        <w:rPr>
          <w:lang w:val="en-US"/>
        </w:rPr>
      </w:pPr>
      <w:r>
        <w:rPr>
          <w:rStyle w:val="Rimandonotaapidipagina"/>
        </w:rPr>
        <w:footnoteRef/>
      </w:r>
      <w:r w:rsidRPr="00CA0DB9">
        <w:rPr>
          <w:lang w:val="en-US"/>
        </w:rPr>
        <w:t xml:space="preserve"> </w:t>
      </w:r>
      <w:proofErr w:type="spellStart"/>
      <w:r w:rsidRPr="00CA0DB9">
        <w:rPr>
          <w:lang w:val="en-US"/>
        </w:rPr>
        <w:t>Lefterov</w:t>
      </w:r>
      <w:proofErr w:type="spellEnd"/>
      <w:r w:rsidRPr="00CA0DB9">
        <w:rPr>
          <w:lang w:val="en-US"/>
        </w:rPr>
        <w:t>,</w:t>
      </w:r>
      <w:r w:rsidR="001C6896">
        <w:rPr>
          <w:lang w:val="en-US"/>
        </w:rPr>
        <w:t xml:space="preserve"> A.,</w:t>
      </w:r>
      <w:r w:rsidRPr="00CA0DB9">
        <w:rPr>
          <w:lang w:val="en-US"/>
        </w:rPr>
        <w:t xml:space="preserve"> The Single Rul</w:t>
      </w:r>
      <w:r>
        <w:rPr>
          <w:lang w:val="en-US"/>
        </w:rPr>
        <w:t>ebook: legal issues and relevanc</w:t>
      </w:r>
      <w:r w:rsidRPr="00CA0DB9">
        <w:rPr>
          <w:lang w:val="en-US"/>
        </w:rPr>
        <w:t>e in the SSM context</w:t>
      </w:r>
      <w:r>
        <w:rPr>
          <w:lang w:val="en-US"/>
        </w:rPr>
        <w:t>, ECB, Legal Working Paper Series, n. 15, October 2015.</w:t>
      </w:r>
      <w:r w:rsidR="00A31867">
        <w:rPr>
          <w:lang w:val="en-US"/>
        </w:rPr>
        <w:t xml:space="preserve"> </w:t>
      </w:r>
    </w:p>
  </w:footnote>
  <w:footnote w:id="20">
    <w:p w:rsidR="00E9782D" w:rsidRDefault="00E9782D">
      <w:pPr>
        <w:pStyle w:val="Testonotaapidipagina"/>
      </w:pPr>
      <w:r>
        <w:rPr>
          <w:rStyle w:val="Rimandonotaapidipagina"/>
        </w:rPr>
        <w:footnoteRef/>
      </w:r>
      <w:r>
        <w:t xml:space="preserve"> </w:t>
      </w:r>
      <w:r w:rsidRPr="00E9782D">
        <w:t xml:space="preserve">Sui Joint </w:t>
      </w:r>
      <w:proofErr w:type="spellStart"/>
      <w:r w:rsidRPr="00E9782D">
        <w:t>Supervisory</w:t>
      </w:r>
      <w:proofErr w:type="spellEnd"/>
      <w:r w:rsidRPr="00E9782D">
        <w:t xml:space="preserve"> Team, costituiti in base all’art. 3 del Reg. BCE n. 468 (Regolamento quadro MVU) del 2014,</w:t>
      </w:r>
      <w:r>
        <w:t xml:space="preserve"> v.</w:t>
      </w:r>
      <w:r w:rsidRPr="00E9782D">
        <w:t xml:space="preserve"> Macchia,</w:t>
      </w:r>
      <w:r>
        <w:t xml:space="preserve"> M.,</w:t>
      </w:r>
      <w:r w:rsidRPr="00E9782D">
        <w:t xml:space="preserve"> Modelli di coordinamento della vigilanza bancaria, in </w:t>
      </w:r>
      <w:proofErr w:type="spellStart"/>
      <w:r w:rsidRPr="00E9782D">
        <w:t>R</w:t>
      </w:r>
      <w:r>
        <w:t>iv</w:t>
      </w:r>
      <w:proofErr w:type="spellEnd"/>
      <w:r>
        <w:t xml:space="preserve">. trim. </w:t>
      </w:r>
      <w:proofErr w:type="spellStart"/>
      <w:r>
        <w:t>diir</w:t>
      </w:r>
      <w:proofErr w:type="spellEnd"/>
      <w:r>
        <w:t xml:space="preserve">. </w:t>
      </w:r>
      <w:proofErr w:type="spellStart"/>
      <w:r>
        <w:t>pubbl</w:t>
      </w:r>
      <w:proofErr w:type="spellEnd"/>
      <w:r>
        <w:t>., n.1, 2016.</w:t>
      </w:r>
    </w:p>
  </w:footnote>
  <w:footnote w:id="21">
    <w:p w:rsidR="00F75626" w:rsidRDefault="00F75626">
      <w:pPr>
        <w:pStyle w:val="Testonotaapidipagina"/>
      </w:pPr>
      <w:r>
        <w:rPr>
          <w:rStyle w:val="Rimandonotaapidipagina"/>
        </w:rPr>
        <w:footnoteRef/>
      </w:r>
      <w:r>
        <w:t xml:space="preserve"> </w:t>
      </w:r>
      <w:r w:rsidRPr="00A31867">
        <w:t xml:space="preserve">V. </w:t>
      </w:r>
      <w:r>
        <w:t xml:space="preserve">il </w:t>
      </w:r>
      <w:r w:rsidRPr="006A7FC2">
        <w:rPr>
          <w:i/>
        </w:rPr>
        <w:t xml:space="preserve">Report on </w:t>
      </w:r>
      <w:proofErr w:type="spellStart"/>
      <w:r w:rsidRPr="006A7FC2">
        <w:rPr>
          <w:i/>
        </w:rPr>
        <w:t>convergence</w:t>
      </w:r>
      <w:proofErr w:type="spellEnd"/>
      <w:r w:rsidRPr="006A7FC2">
        <w:rPr>
          <w:i/>
        </w:rPr>
        <w:t xml:space="preserve"> of </w:t>
      </w:r>
      <w:proofErr w:type="spellStart"/>
      <w:r w:rsidRPr="006A7FC2">
        <w:rPr>
          <w:i/>
        </w:rPr>
        <w:t>supervisory</w:t>
      </w:r>
      <w:proofErr w:type="spellEnd"/>
      <w:r w:rsidRPr="006A7FC2">
        <w:rPr>
          <w:i/>
        </w:rPr>
        <w:t xml:space="preserve"> </w:t>
      </w:r>
      <w:proofErr w:type="spellStart"/>
      <w:r w:rsidRPr="006A7FC2">
        <w:rPr>
          <w:i/>
        </w:rPr>
        <w:t>practices</w:t>
      </w:r>
      <w:proofErr w:type="spellEnd"/>
      <w:r w:rsidRPr="006A7FC2">
        <w:t>.</w:t>
      </w:r>
      <w:r>
        <w:t>, predisposto dall</w:t>
      </w:r>
      <w:r w:rsidRPr="006A7FC2">
        <w:t>’EBA</w:t>
      </w:r>
      <w:r>
        <w:t xml:space="preserve"> nell’aprile 2015 per </w:t>
      </w:r>
      <w:r w:rsidRPr="006A7FC2">
        <w:t>riferi</w:t>
      </w:r>
      <w:r>
        <w:t>r</w:t>
      </w:r>
      <w:r w:rsidRPr="006A7FC2">
        <w:t xml:space="preserve">e </w:t>
      </w:r>
      <w:r>
        <w:t>a</w:t>
      </w:r>
      <w:r w:rsidRPr="006A7FC2">
        <w:t xml:space="preserve">l Parlamento europeo e al Consiglio sul grado di convergenza </w:t>
      </w:r>
      <w:r>
        <w:t>n</w:t>
      </w:r>
      <w:r w:rsidRPr="006A7FC2">
        <w:t>ell’applicazione delle regole prudenziali.</w:t>
      </w:r>
      <w:r>
        <w:t xml:space="preserve"> L’</w:t>
      </w:r>
      <w:proofErr w:type="spellStart"/>
      <w:r>
        <w:t>Eba</w:t>
      </w:r>
      <w:proofErr w:type="spellEnd"/>
      <w:r>
        <w:t xml:space="preserve"> è inoltre impegnata nella e</w:t>
      </w:r>
      <w:r w:rsidRPr="006A7FC2">
        <w:t xml:space="preserve">laborando </w:t>
      </w:r>
      <w:r>
        <w:t xml:space="preserve">di </w:t>
      </w:r>
      <w:r w:rsidRPr="006A7FC2">
        <w:t xml:space="preserve">un </w:t>
      </w:r>
      <w:proofErr w:type="spellStart"/>
      <w:r>
        <w:t>E</w:t>
      </w:r>
      <w:r w:rsidRPr="006A7FC2">
        <w:rPr>
          <w:i/>
        </w:rPr>
        <w:t>uropean</w:t>
      </w:r>
      <w:proofErr w:type="spellEnd"/>
      <w:r w:rsidRPr="006A7FC2">
        <w:rPr>
          <w:i/>
        </w:rPr>
        <w:t xml:space="preserve"> </w:t>
      </w:r>
      <w:proofErr w:type="spellStart"/>
      <w:r w:rsidRPr="006A7FC2">
        <w:rPr>
          <w:i/>
        </w:rPr>
        <w:t>supervisory</w:t>
      </w:r>
      <w:proofErr w:type="spellEnd"/>
      <w:r w:rsidRPr="006A7FC2">
        <w:rPr>
          <w:i/>
        </w:rPr>
        <w:t xml:space="preserve"> </w:t>
      </w:r>
      <w:proofErr w:type="spellStart"/>
      <w:r w:rsidRPr="006A7FC2">
        <w:rPr>
          <w:i/>
        </w:rPr>
        <w:t>handbook</w:t>
      </w:r>
      <w:proofErr w:type="spellEnd"/>
      <w:r w:rsidRPr="006A7FC2">
        <w:rPr>
          <w:i/>
        </w:rPr>
        <w:t xml:space="preserve"> on the </w:t>
      </w:r>
      <w:proofErr w:type="spellStart"/>
      <w:r w:rsidRPr="006A7FC2">
        <w:rPr>
          <w:i/>
        </w:rPr>
        <w:t>supervision</w:t>
      </w:r>
      <w:proofErr w:type="spellEnd"/>
      <w:r w:rsidRPr="006A7FC2">
        <w:rPr>
          <w:i/>
        </w:rPr>
        <w:t xml:space="preserve"> of </w:t>
      </w:r>
      <w:proofErr w:type="spellStart"/>
      <w:r w:rsidRPr="006A7FC2">
        <w:rPr>
          <w:i/>
        </w:rPr>
        <w:t>financial</w:t>
      </w:r>
      <w:proofErr w:type="spellEnd"/>
      <w:r w:rsidRPr="006A7FC2">
        <w:rPr>
          <w:i/>
        </w:rPr>
        <w:t xml:space="preserve"> </w:t>
      </w:r>
      <w:proofErr w:type="spellStart"/>
      <w:r w:rsidRPr="006A7FC2">
        <w:rPr>
          <w:i/>
        </w:rPr>
        <w:t>institutions</w:t>
      </w:r>
      <w:proofErr w:type="spellEnd"/>
      <w:r>
        <w:t>.</w:t>
      </w:r>
    </w:p>
  </w:footnote>
  <w:footnote w:id="22">
    <w:p w:rsidR="000D06D2" w:rsidRPr="000D06D2" w:rsidRDefault="000D06D2">
      <w:pPr>
        <w:pStyle w:val="Testonotaapidipagina"/>
      </w:pPr>
      <w:r>
        <w:rPr>
          <w:rStyle w:val="Rimandonotaapidipagina"/>
        </w:rPr>
        <w:footnoteRef/>
      </w:r>
      <w:r w:rsidRPr="000D06D2">
        <w:t xml:space="preserve"> V.</w:t>
      </w:r>
      <w:r w:rsidR="001C6896">
        <w:t xml:space="preserve"> </w:t>
      </w:r>
      <w:proofErr w:type="spellStart"/>
      <w:r w:rsidR="001C6896">
        <w:t>Molone</w:t>
      </w:r>
      <w:r w:rsidR="001A2BB8">
        <w:t>y</w:t>
      </w:r>
      <w:proofErr w:type="spellEnd"/>
      <w:r w:rsidR="001A2BB8">
        <w:t xml:space="preserve">, </w:t>
      </w:r>
      <w:proofErr w:type="spellStart"/>
      <w:r w:rsidR="00C169AA">
        <w:t>N.</w:t>
      </w:r>
      <w:r w:rsidR="001C6896" w:rsidRPr="001C6896">
        <w:t>The</w:t>
      </w:r>
      <w:proofErr w:type="spellEnd"/>
      <w:r w:rsidR="001C6896" w:rsidRPr="001C6896">
        <w:t xml:space="preserve"> </w:t>
      </w:r>
      <w:proofErr w:type="spellStart"/>
      <w:r w:rsidR="001C6896" w:rsidRPr="001C6896">
        <w:t>European</w:t>
      </w:r>
      <w:proofErr w:type="spellEnd"/>
      <w:r w:rsidR="001C6896" w:rsidRPr="001C6896">
        <w:t xml:space="preserve"> Securities and Market Authority </w:t>
      </w:r>
      <w:proofErr w:type="spellStart"/>
      <w:r w:rsidR="001A2BB8">
        <w:t>cit</w:t>
      </w:r>
      <w:proofErr w:type="spellEnd"/>
      <w:r w:rsidRPr="000D06D2">
        <w:t xml:space="preserve">; </w:t>
      </w:r>
      <w:proofErr w:type="spellStart"/>
      <w:r w:rsidRPr="000D06D2">
        <w:t>Colantuoni</w:t>
      </w:r>
      <w:proofErr w:type="spellEnd"/>
      <w:r w:rsidRPr="000D06D2">
        <w:t>,</w:t>
      </w:r>
      <w:r w:rsidR="001C6896">
        <w:t xml:space="preserve"> V., </w:t>
      </w:r>
      <w:r w:rsidRPr="000D06D2">
        <w:t xml:space="preserve"> Le funzioni di regolazione della </w:t>
      </w:r>
      <w:proofErr w:type="spellStart"/>
      <w:r w:rsidRPr="000D06D2">
        <w:t>Consob</w:t>
      </w:r>
      <w:proofErr w:type="spellEnd"/>
      <w:r w:rsidRPr="000D06D2">
        <w:t xml:space="preserve"> nella nuova </w:t>
      </w:r>
      <w:proofErr w:type="spellStart"/>
      <w:r w:rsidRPr="000D06D2">
        <w:t>governance</w:t>
      </w:r>
      <w:proofErr w:type="spellEnd"/>
      <w:r w:rsidRPr="000D06D2">
        <w:t xml:space="preserve"> europea, Osservatorio sull’Analisi d’Impatto della regolazione, p 6/2013</w:t>
      </w:r>
      <w:r w:rsidR="001C6896">
        <w:t xml:space="preserve">; </w:t>
      </w:r>
      <w:r w:rsidR="001C6896" w:rsidRPr="001C6896">
        <w:t xml:space="preserve">De Bellis, M., Unificazione, differenziazione e </w:t>
      </w:r>
      <w:proofErr w:type="spellStart"/>
      <w:r w:rsidR="001C6896" w:rsidRPr="001C6896">
        <w:t>tecnificazione</w:t>
      </w:r>
      <w:proofErr w:type="spellEnd"/>
      <w:r w:rsidR="001C6896" w:rsidRPr="001C6896">
        <w:t xml:space="preserve"> nella regolazione europea dei mercati finanziari, in Rivista italiana di diritto pubblico comunitario, n. 6, 2015</w:t>
      </w:r>
      <w:r w:rsidR="001C6896">
        <w:t>.</w:t>
      </w:r>
    </w:p>
  </w:footnote>
  <w:footnote w:id="23">
    <w:p w:rsidR="00632E6B" w:rsidRPr="00A66D46" w:rsidRDefault="00632E6B">
      <w:pPr>
        <w:pStyle w:val="Testonotaapidipagina"/>
        <w:rPr>
          <w:lang w:val="en-US"/>
        </w:rPr>
      </w:pPr>
      <w:r>
        <w:rPr>
          <w:rStyle w:val="Rimandonotaapidipagina"/>
        </w:rPr>
        <w:footnoteRef/>
      </w:r>
      <w:r>
        <w:t xml:space="preserve"> </w:t>
      </w:r>
      <w:proofErr w:type="spellStart"/>
      <w:r>
        <w:t>Perassi</w:t>
      </w:r>
      <w:proofErr w:type="spellEnd"/>
      <w:r>
        <w:t xml:space="preserve">, M., Verso una vigilanza europea. </w:t>
      </w:r>
      <w:r w:rsidRPr="00A66D46">
        <w:rPr>
          <w:lang w:val="en-US"/>
        </w:rPr>
        <w:t xml:space="preserve">La </w:t>
      </w:r>
      <w:proofErr w:type="spellStart"/>
      <w:r w:rsidRPr="00A66D46">
        <w:rPr>
          <w:lang w:val="en-US"/>
        </w:rPr>
        <w:t>supervisione</w:t>
      </w:r>
      <w:proofErr w:type="spellEnd"/>
      <w:r w:rsidRPr="00A66D46">
        <w:rPr>
          <w:lang w:val="en-US"/>
        </w:rPr>
        <w:t xml:space="preserve"> </w:t>
      </w:r>
      <w:proofErr w:type="spellStart"/>
      <w:r w:rsidRPr="00A66D46">
        <w:rPr>
          <w:lang w:val="en-US"/>
        </w:rPr>
        <w:t>sulle</w:t>
      </w:r>
      <w:proofErr w:type="spellEnd"/>
      <w:r w:rsidRPr="00A66D46">
        <w:rPr>
          <w:lang w:val="en-US"/>
        </w:rPr>
        <w:t xml:space="preserve"> </w:t>
      </w:r>
      <w:proofErr w:type="spellStart"/>
      <w:r w:rsidRPr="00A66D46">
        <w:rPr>
          <w:lang w:val="en-US"/>
        </w:rPr>
        <w:t>agenzie</w:t>
      </w:r>
      <w:proofErr w:type="spellEnd"/>
      <w:r w:rsidRPr="00A66D46">
        <w:rPr>
          <w:lang w:val="en-US"/>
        </w:rPr>
        <w:t xml:space="preserve"> di rating, in «</w:t>
      </w:r>
      <w:proofErr w:type="spellStart"/>
      <w:r w:rsidRPr="00A66D46">
        <w:rPr>
          <w:lang w:val="en-US"/>
        </w:rPr>
        <w:t>Analisi</w:t>
      </w:r>
      <w:proofErr w:type="spellEnd"/>
      <w:r w:rsidRPr="00A66D46">
        <w:rPr>
          <w:lang w:val="en-US"/>
        </w:rPr>
        <w:t xml:space="preserve"> </w:t>
      </w:r>
      <w:proofErr w:type="spellStart"/>
      <w:r w:rsidRPr="00A66D46">
        <w:rPr>
          <w:lang w:val="en-US"/>
        </w:rPr>
        <w:t>giuridica</w:t>
      </w:r>
      <w:proofErr w:type="spellEnd"/>
      <w:r w:rsidRPr="00A66D46">
        <w:rPr>
          <w:lang w:val="en-US"/>
        </w:rPr>
        <w:t xml:space="preserve"> </w:t>
      </w:r>
      <w:proofErr w:type="spellStart"/>
      <w:r w:rsidRPr="00A66D46">
        <w:rPr>
          <w:lang w:val="en-US"/>
        </w:rPr>
        <w:t>dell’economia</w:t>
      </w:r>
      <w:proofErr w:type="spellEnd"/>
      <w:r w:rsidRPr="00A66D46">
        <w:rPr>
          <w:lang w:val="en-US"/>
        </w:rPr>
        <w:t>», 2012, 407 ss.</w:t>
      </w:r>
      <w:r w:rsidR="00A66D46" w:rsidRPr="00A66D46">
        <w:rPr>
          <w:lang w:val="en-US"/>
        </w:rPr>
        <w:t xml:space="preserve">; G. </w:t>
      </w:r>
      <w:proofErr w:type="spellStart"/>
      <w:r w:rsidR="00A66D46" w:rsidRPr="00A66D46">
        <w:rPr>
          <w:lang w:val="en-US"/>
        </w:rPr>
        <w:t>Sciascia</w:t>
      </w:r>
      <w:proofErr w:type="spellEnd"/>
      <w:r w:rsidR="00A66D46" w:rsidRPr="00A66D46">
        <w:rPr>
          <w:lang w:val="en-US"/>
        </w:rPr>
        <w:t xml:space="preserve">, Credit Rating Agencies in the Context of EU Regulation of Financial Markets: Developments, Standards, Public Functions, in </w:t>
      </w:r>
      <w:proofErr w:type="spellStart"/>
      <w:r w:rsidR="00A66D46">
        <w:rPr>
          <w:lang w:val="en-US"/>
        </w:rPr>
        <w:t>Chiti</w:t>
      </w:r>
      <w:proofErr w:type="spellEnd"/>
      <w:r w:rsidR="00A66D46">
        <w:rPr>
          <w:lang w:val="en-US"/>
        </w:rPr>
        <w:t>, E., Vesperini, G., (eds.), The Administrative Architecture of Financial Integration., cit., 211.</w:t>
      </w:r>
    </w:p>
  </w:footnote>
  <w:footnote w:id="24">
    <w:p w:rsidR="00476354" w:rsidRPr="006C33CE" w:rsidRDefault="00476354">
      <w:pPr>
        <w:pStyle w:val="Testonotaapidipagina"/>
      </w:pPr>
      <w:r>
        <w:rPr>
          <w:rStyle w:val="Rimandonotaapidipagina"/>
        </w:rPr>
        <w:footnoteRef/>
      </w:r>
      <w:r w:rsidRPr="006C33CE">
        <w:t xml:space="preserve"> </w:t>
      </w:r>
      <w:r w:rsidR="006C33CE" w:rsidRPr="006C33CE">
        <w:t>I poteri dell’</w:t>
      </w:r>
      <w:proofErr w:type="spellStart"/>
      <w:r w:rsidR="006C33CE" w:rsidRPr="006C33CE">
        <w:t>Esma</w:t>
      </w:r>
      <w:proofErr w:type="spellEnd"/>
      <w:r w:rsidR="006C33CE" w:rsidRPr="006C33CE">
        <w:t xml:space="preserve"> sono disciplinati ne</w:t>
      </w:r>
      <w:r w:rsidR="006C33CE">
        <w:t>i</w:t>
      </w:r>
      <w:r w:rsidR="006C33CE" w:rsidRPr="006C33CE">
        <w:t xml:space="preserve"> regolamenti </w:t>
      </w:r>
      <w:r w:rsidR="006C33CE">
        <w:t>n</w:t>
      </w:r>
      <w:r w:rsidRPr="006C33CE">
        <w:t xml:space="preserve">. 1060/2009 e </w:t>
      </w:r>
      <w:r w:rsidR="006C33CE">
        <w:t xml:space="preserve">n. </w:t>
      </w:r>
      <w:r w:rsidRPr="006C33CE">
        <w:t>513/2011</w:t>
      </w:r>
      <w:r w:rsidR="006C33CE">
        <w:t>.</w:t>
      </w:r>
    </w:p>
  </w:footnote>
  <w:footnote w:id="25">
    <w:p w:rsidR="005F74CE" w:rsidRPr="003F39DB" w:rsidRDefault="005F74CE" w:rsidP="005F74CE">
      <w:pPr>
        <w:pStyle w:val="Testonotaapidipagina"/>
        <w:rPr>
          <w:lang w:val="en-US"/>
        </w:rPr>
      </w:pPr>
      <w:r w:rsidRPr="004256FE">
        <w:rPr>
          <w:rStyle w:val="Rimandonotaapidipagina"/>
        </w:rPr>
        <w:footnoteRef/>
      </w:r>
      <w:r w:rsidRPr="003F39DB">
        <w:rPr>
          <w:lang w:val="en-US"/>
        </w:rPr>
        <w:t xml:space="preserve"> </w:t>
      </w:r>
      <w:r w:rsidRPr="004256FE">
        <w:rPr>
          <w:i/>
          <w:lang w:val="en-US"/>
        </w:rPr>
        <w:t>ESMA supervision of Credit Rating Agencies and Trade repositories. Annual report 2014 and work plan</w:t>
      </w:r>
      <w:r w:rsidRPr="003F39DB">
        <w:rPr>
          <w:lang w:val="en-US"/>
        </w:rPr>
        <w:t xml:space="preserve">, 16 </w:t>
      </w:r>
      <w:proofErr w:type="spellStart"/>
      <w:r w:rsidR="001C6896">
        <w:rPr>
          <w:lang w:val="en-US"/>
        </w:rPr>
        <w:t>f</w:t>
      </w:r>
      <w:r w:rsidRPr="003F39DB">
        <w:rPr>
          <w:lang w:val="en-US"/>
        </w:rPr>
        <w:t>ebbraio</w:t>
      </w:r>
      <w:proofErr w:type="spellEnd"/>
      <w:r w:rsidRPr="003F39DB">
        <w:rPr>
          <w:lang w:val="en-US"/>
        </w:rPr>
        <w:t xml:space="preserve"> 2015, pp. 13-14.</w:t>
      </w:r>
    </w:p>
  </w:footnote>
  <w:footnote w:id="26">
    <w:p w:rsidR="00456F24" w:rsidRDefault="00456F24" w:rsidP="00456F24">
      <w:pPr>
        <w:pStyle w:val="Testonotaapidipagina"/>
      </w:pPr>
      <w:r>
        <w:rPr>
          <w:rStyle w:val="Rimandonotaapidipagina"/>
        </w:rPr>
        <w:footnoteRef/>
      </w:r>
      <w:r w:rsidRPr="00171557">
        <w:rPr>
          <w:lang w:val="en-US"/>
        </w:rPr>
        <w:t xml:space="preserve"> Il </w:t>
      </w:r>
      <w:proofErr w:type="spellStart"/>
      <w:r w:rsidRPr="00171557">
        <w:rPr>
          <w:lang w:val="en-US"/>
        </w:rPr>
        <w:t>rifiuto</w:t>
      </w:r>
      <w:proofErr w:type="spellEnd"/>
      <w:r w:rsidRPr="00171557">
        <w:rPr>
          <w:lang w:val="en-US"/>
        </w:rPr>
        <w:t xml:space="preserve"> di </w:t>
      </w:r>
      <w:proofErr w:type="spellStart"/>
      <w:r w:rsidRPr="00171557">
        <w:rPr>
          <w:lang w:val="en-US"/>
        </w:rPr>
        <w:t>procedere</w:t>
      </w:r>
      <w:proofErr w:type="spellEnd"/>
      <w:r w:rsidRPr="00171557">
        <w:rPr>
          <w:lang w:val="en-US"/>
        </w:rPr>
        <w:t xml:space="preserve"> </w:t>
      </w:r>
      <w:proofErr w:type="spellStart"/>
      <w:r w:rsidRPr="00171557">
        <w:rPr>
          <w:lang w:val="en-US"/>
        </w:rPr>
        <w:t>alla</w:t>
      </w:r>
      <w:proofErr w:type="spellEnd"/>
      <w:r w:rsidRPr="00171557">
        <w:rPr>
          <w:lang w:val="en-US"/>
        </w:rPr>
        <w:t xml:space="preserve"> </w:t>
      </w:r>
      <w:proofErr w:type="spellStart"/>
      <w:r w:rsidRPr="00171557">
        <w:rPr>
          <w:lang w:val="en-US"/>
        </w:rPr>
        <w:t>registrazione</w:t>
      </w:r>
      <w:proofErr w:type="spellEnd"/>
      <w:r w:rsidRPr="00171557">
        <w:rPr>
          <w:lang w:val="en-US"/>
        </w:rPr>
        <w:t xml:space="preserve"> è </w:t>
      </w:r>
      <w:proofErr w:type="spellStart"/>
      <w:r w:rsidRPr="00171557">
        <w:rPr>
          <w:lang w:val="en-US"/>
        </w:rPr>
        <w:t>stato</w:t>
      </w:r>
      <w:proofErr w:type="spellEnd"/>
      <w:r w:rsidRPr="00171557">
        <w:rPr>
          <w:lang w:val="en-US"/>
        </w:rPr>
        <w:t xml:space="preserve"> </w:t>
      </w:r>
      <w:proofErr w:type="spellStart"/>
      <w:r w:rsidRPr="00171557">
        <w:rPr>
          <w:lang w:val="en-US"/>
        </w:rPr>
        <w:t>impugnato</w:t>
      </w:r>
      <w:proofErr w:type="spellEnd"/>
      <w:r w:rsidRPr="00171557">
        <w:rPr>
          <w:lang w:val="en-US"/>
        </w:rPr>
        <w:t xml:space="preserve"> da </w:t>
      </w:r>
      <w:proofErr w:type="spellStart"/>
      <w:r w:rsidRPr="00171557">
        <w:rPr>
          <w:lang w:val="en-US"/>
        </w:rPr>
        <w:t>una</w:t>
      </w:r>
      <w:proofErr w:type="spellEnd"/>
      <w:r w:rsidRPr="00171557">
        <w:rPr>
          <w:lang w:val="en-US"/>
        </w:rPr>
        <w:t xml:space="preserve"> </w:t>
      </w:r>
      <w:proofErr w:type="spellStart"/>
      <w:r w:rsidRPr="00171557">
        <w:rPr>
          <w:lang w:val="en-US"/>
        </w:rPr>
        <w:t>società</w:t>
      </w:r>
      <w:proofErr w:type="spellEnd"/>
      <w:r w:rsidRPr="00171557">
        <w:rPr>
          <w:lang w:val="en-US"/>
        </w:rPr>
        <w:t xml:space="preserve"> </w:t>
      </w:r>
      <w:proofErr w:type="spellStart"/>
      <w:r w:rsidRPr="00171557">
        <w:rPr>
          <w:lang w:val="en-US"/>
        </w:rPr>
        <w:t>britannica</w:t>
      </w:r>
      <w:proofErr w:type="spellEnd"/>
      <w:r w:rsidRPr="00171557">
        <w:rPr>
          <w:lang w:val="en-US"/>
        </w:rPr>
        <w:t xml:space="preserve">, </w:t>
      </w:r>
      <w:proofErr w:type="spellStart"/>
      <w:r w:rsidRPr="00171557">
        <w:rPr>
          <w:lang w:val="en-US"/>
        </w:rPr>
        <w:t>davanti</w:t>
      </w:r>
      <w:proofErr w:type="spellEnd"/>
      <w:r w:rsidRPr="00171557">
        <w:rPr>
          <w:lang w:val="en-US"/>
        </w:rPr>
        <w:t xml:space="preserve"> al Board of appeal, </w:t>
      </w:r>
      <w:proofErr w:type="spellStart"/>
      <w:r w:rsidRPr="00171557">
        <w:rPr>
          <w:lang w:val="en-US"/>
        </w:rPr>
        <w:t>che</w:t>
      </w:r>
      <w:proofErr w:type="spellEnd"/>
      <w:r w:rsidRPr="00171557">
        <w:rPr>
          <w:lang w:val="en-US"/>
        </w:rPr>
        <w:t xml:space="preserve"> ha </w:t>
      </w:r>
      <w:proofErr w:type="spellStart"/>
      <w:r w:rsidRPr="00171557">
        <w:rPr>
          <w:lang w:val="en-US"/>
        </w:rPr>
        <w:t>però</w:t>
      </w:r>
      <w:proofErr w:type="spellEnd"/>
      <w:r w:rsidRPr="00171557">
        <w:rPr>
          <w:lang w:val="en-US"/>
        </w:rPr>
        <w:t xml:space="preserve"> </w:t>
      </w:r>
      <w:proofErr w:type="spellStart"/>
      <w:r w:rsidRPr="00171557">
        <w:rPr>
          <w:lang w:val="en-US"/>
        </w:rPr>
        <w:t>confermato</w:t>
      </w:r>
      <w:proofErr w:type="spellEnd"/>
      <w:r w:rsidRPr="00171557">
        <w:rPr>
          <w:lang w:val="en-US"/>
        </w:rPr>
        <w:t xml:space="preserve"> la </w:t>
      </w:r>
      <w:proofErr w:type="spellStart"/>
      <w:r w:rsidRPr="00171557">
        <w:rPr>
          <w:lang w:val="en-US"/>
        </w:rPr>
        <w:t>decisione</w:t>
      </w:r>
      <w:proofErr w:type="spellEnd"/>
      <w:r w:rsidRPr="00171557">
        <w:rPr>
          <w:lang w:val="en-US"/>
        </w:rPr>
        <w:t xml:space="preserve"> </w:t>
      </w:r>
      <w:proofErr w:type="spellStart"/>
      <w:r w:rsidRPr="00171557">
        <w:rPr>
          <w:lang w:val="en-US"/>
        </w:rPr>
        <w:t>dell’Esma</w:t>
      </w:r>
      <w:proofErr w:type="spellEnd"/>
      <w:r w:rsidR="00171557" w:rsidRPr="00171557">
        <w:rPr>
          <w:lang w:val="en-US"/>
        </w:rPr>
        <w:t xml:space="preserve">: v. </w:t>
      </w:r>
      <w:r w:rsidR="00171557" w:rsidRPr="003F39DB">
        <w:rPr>
          <w:lang w:val="en-US"/>
        </w:rPr>
        <w:t xml:space="preserve">Board of Appeal of the </w:t>
      </w:r>
      <w:proofErr w:type="spellStart"/>
      <w:r w:rsidR="00171557" w:rsidRPr="003F39DB">
        <w:rPr>
          <w:lang w:val="en-US"/>
        </w:rPr>
        <w:t>Esma</w:t>
      </w:r>
      <w:proofErr w:type="spellEnd"/>
      <w:r w:rsidR="00171557" w:rsidRPr="003F39DB">
        <w:rPr>
          <w:lang w:val="en-US"/>
        </w:rPr>
        <w:t xml:space="preserve">, </w:t>
      </w:r>
      <w:r w:rsidR="00171557" w:rsidRPr="003F39DB">
        <w:rPr>
          <w:i/>
          <w:lang w:val="en-US"/>
        </w:rPr>
        <w:t>Decision given under article 60.4 Regulation (EU) No. 1095/2010 in an Appeal by  Global Private Rating Company “Standard Rating” Ltd against a decision of the European Securities and Markets Authority</w:t>
      </w:r>
      <w:r w:rsidR="001C6896">
        <w:rPr>
          <w:lang w:val="en-US"/>
        </w:rPr>
        <w:t xml:space="preserve">, 10 </w:t>
      </w:r>
      <w:proofErr w:type="spellStart"/>
      <w:r w:rsidR="001C6896">
        <w:rPr>
          <w:lang w:val="en-US"/>
        </w:rPr>
        <w:t>g</w:t>
      </w:r>
      <w:r w:rsidR="00171557" w:rsidRPr="003F39DB">
        <w:rPr>
          <w:lang w:val="en-US"/>
        </w:rPr>
        <w:t>ennaio</w:t>
      </w:r>
      <w:proofErr w:type="spellEnd"/>
      <w:r w:rsidR="00171557" w:rsidRPr="003F39DB">
        <w:rPr>
          <w:lang w:val="en-US"/>
        </w:rPr>
        <w:t xml:space="preserve"> 2014</w:t>
      </w:r>
      <w:r w:rsidRPr="00171557">
        <w:rPr>
          <w:lang w:val="en-US"/>
        </w:rPr>
        <w:t xml:space="preserve">. </w:t>
      </w:r>
      <w:r>
        <w:t>La motivazione della decisione di rifiuto adottata dall’autorità era fondata sulla mancata dimostrazione, da parte dell’agenzia, del rispetto di alcuni requisiti fondamentali previsti dal regolamento CRA sul conflitto di interessi delle agenzie e sui controlli interni: v., per un esame in dettaglio, De Bellis,</w:t>
      </w:r>
      <w:r w:rsidR="001C6896">
        <w:t xml:space="preserve"> M.,</w:t>
      </w:r>
      <w:r>
        <w:t xml:space="preserve"> </w:t>
      </w:r>
      <w:proofErr w:type="spellStart"/>
      <w:r>
        <w:t>European</w:t>
      </w:r>
      <w:proofErr w:type="spellEnd"/>
      <w:r>
        <w:t xml:space="preserve"> Financial </w:t>
      </w:r>
      <w:proofErr w:type="spellStart"/>
      <w:r>
        <w:t>Supervision</w:t>
      </w:r>
      <w:proofErr w:type="spellEnd"/>
      <w:r>
        <w:t xml:space="preserve"> after the </w:t>
      </w:r>
      <w:proofErr w:type="spellStart"/>
      <w:r>
        <w:t>Crisis</w:t>
      </w:r>
      <w:proofErr w:type="spellEnd"/>
      <w:r>
        <w:t>. cit..</w:t>
      </w:r>
    </w:p>
  </w:footnote>
  <w:footnote w:id="27">
    <w:p w:rsidR="004F58B5" w:rsidRDefault="004F58B5" w:rsidP="004F58B5">
      <w:pPr>
        <w:pStyle w:val="Testonotaapidipagina"/>
      </w:pPr>
      <w:r>
        <w:rPr>
          <w:rStyle w:val="Rimandonotaapidipagina"/>
        </w:rPr>
        <w:footnoteRef/>
      </w:r>
      <w:r>
        <w:t xml:space="preserve"> V. gli articoli 39 e seguenti del regolamento n. 600/2014 del 15 maggio 2014.</w:t>
      </w:r>
    </w:p>
  </w:footnote>
  <w:footnote w:id="28">
    <w:p w:rsidR="00D301DF" w:rsidRPr="00F60729" w:rsidRDefault="00D301DF" w:rsidP="00D301DF">
      <w:pPr>
        <w:pStyle w:val="Testonotaapidipagina"/>
      </w:pPr>
      <w:r>
        <w:rPr>
          <w:rStyle w:val="Rimandonotaapidipagina"/>
        </w:rPr>
        <w:footnoteRef/>
      </w:r>
      <w:r w:rsidRPr="00F60729">
        <w:t xml:space="preserve"> </w:t>
      </w:r>
      <w:r w:rsidRPr="00A05052">
        <w:t xml:space="preserve">S. </w:t>
      </w:r>
      <w:proofErr w:type="spellStart"/>
      <w:r w:rsidRPr="00A05052">
        <w:t>Cassese</w:t>
      </w:r>
      <w:proofErr w:type="spellEnd"/>
      <w:r w:rsidRPr="00A05052">
        <w:t xml:space="preserve">, La nuova architettura europea, </w:t>
      </w:r>
      <w:r>
        <w:t>cit.</w:t>
      </w:r>
    </w:p>
  </w:footnote>
  <w:footnote w:id="29">
    <w:p w:rsidR="00E93670" w:rsidRPr="00CD0174" w:rsidRDefault="00E93670">
      <w:pPr>
        <w:pStyle w:val="Testonotaapidipagina"/>
      </w:pPr>
      <w:r>
        <w:rPr>
          <w:rStyle w:val="Rimandonotaapidipagina"/>
        </w:rPr>
        <w:footnoteRef/>
      </w:r>
      <w:r w:rsidRPr="00CD0174">
        <w:t xml:space="preserve"> V. </w:t>
      </w:r>
      <w:proofErr w:type="spellStart"/>
      <w:r w:rsidRPr="00CD0174">
        <w:t>I</w:t>
      </w:r>
      <w:r w:rsidR="00A05052">
        <w:t>nterinstitutional</w:t>
      </w:r>
      <w:proofErr w:type="spellEnd"/>
      <w:r w:rsidRPr="00CD0174">
        <w:t xml:space="preserve"> </w:t>
      </w:r>
      <w:proofErr w:type="spellStart"/>
      <w:r w:rsidRPr="00CD0174">
        <w:t>A</w:t>
      </w:r>
      <w:r w:rsidR="00A05052">
        <w:t>greements</w:t>
      </w:r>
      <w:proofErr w:type="spellEnd"/>
      <w:r w:rsidRPr="00CD0174">
        <w:t xml:space="preserve"> A</w:t>
      </w:r>
      <w:r w:rsidR="00A05052">
        <w:t>greement</w:t>
      </w:r>
      <w:r w:rsidRPr="00CD0174">
        <w:t xml:space="preserve"> </w:t>
      </w:r>
      <w:proofErr w:type="spellStart"/>
      <w:r w:rsidRPr="00CD0174">
        <w:t>between</w:t>
      </w:r>
      <w:proofErr w:type="spellEnd"/>
      <w:r w:rsidRPr="00CD0174">
        <w:t xml:space="preserve"> the </w:t>
      </w:r>
      <w:proofErr w:type="spellStart"/>
      <w:r w:rsidRPr="00CD0174">
        <w:t>European</w:t>
      </w:r>
      <w:proofErr w:type="spellEnd"/>
      <w:r w:rsidRPr="00CD0174">
        <w:t xml:space="preserve"> </w:t>
      </w:r>
      <w:proofErr w:type="spellStart"/>
      <w:r w:rsidRPr="00CD0174">
        <w:t>Parliament</w:t>
      </w:r>
      <w:proofErr w:type="spellEnd"/>
      <w:r w:rsidRPr="00CD0174">
        <w:t xml:space="preserve"> and the Single </w:t>
      </w:r>
      <w:proofErr w:type="spellStart"/>
      <w:r w:rsidRPr="00CD0174">
        <w:t>Resolution</w:t>
      </w:r>
      <w:proofErr w:type="spellEnd"/>
      <w:r w:rsidRPr="00CD0174">
        <w:t xml:space="preserve"> Board on the </w:t>
      </w:r>
      <w:proofErr w:type="spellStart"/>
      <w:r w:rsidRPr="00CD0174">
        <w:t>practical</w:t>
      </w:r>
      <w:proofErr w:type="spellEnd"/>
      <w:r w:rsidRPr="00CD0174">
        <w:t xml:space="preserve"> </w:t>
      </w:r>
      <w:proofErr w:type="spellStart"/>
      <w:r w:rsidRPr="00CD0174">
        <w:t>modalities</w:t>
      </w:r>
      <w:proofErr w:type="spellEnd"/>
      <w:r w:rsidRPr="00CD0174">
        <w:t xml:space="preserve"> of the </w:t>
      </w:r>
      <w:proofErr w:type="spellStart"/>
      <w:r w:rsidRPr="00CD0174">
        <w:t>exercise</w:t>
      </w:r>
      <w:proofErr w:type="spellEnd"/>
      <w:r w:rsidRPr="00CD0174">
        <w:t xml:space="preserve"> of </w:t>
      </w:r>
      <w:proofErr w:type="spellStart"/>
      <w:r w:rsidRPr="00CD0174">
        <w:t>democratic</w:t>
      </w:r>
      <w:proofErr w:type="spellEnd"/>
      <w:r w:rsidRPr="00CD0174">
        <w:t xml:space="preserve"> </w:t>
      </w:r>
      <w:proofErr w:type="spellStart"/>
      <w:r w:rsidRPr="00CD0174">
        <w:t>accountability</w:t>
      </w:r>
      <w:proofErr w:type="spellEnd"/>
      <w:r w:rsidRPr="00CD0174">
        <w:t xml:space="preserve"> and </w:t>
      </w:r>
      <w:proofErr w:type="spellStart"/>
      <w:r w:rsidRPr="00CD0174">
        <w:t>oversight</w:t>
      </w:r>
      <w:proofErr w:type="spellEnd"/>
      <w:r w:rsidRPr="00CD0174">
        <w:t xml:space="preserve"> over the </w:t>
      </w:r>
      <w:proofErr w:type="spellStart"/>
      <w:r w:rsidRPr="00CD0174">
        <w:t>exercise</w:t>
      </w:r>
      <w:proofErr w:type="spellEnd"/>
      <w:r w:rsidRPr="00CD0174">
        <w:t xml:space="preserve"> of the </w:t>
      </w:r>
      <w:proofErr w:type="spellStart"/>
      <w:r w:rsidRPr="00CD0174">
        <w:t>tasks</w:t>
      </w:r>
      <w:proofErr w:type="spellEnd"/>
      <w:r w:rsidRPr="00CD0174">
        <w:t xml:space="preserve"> </w:t>
      </w:r>
      <w:proofErr w:type="spellStart"/>
      <w:r w:rsidRPr="00CD0174">
        <w:t>conferred</w:t>
      </w:r>
      <w:proofErr w:type="spellEnd"/>
      <w:r w:rsidRPr="00CD0174">
        <w:t xml:space="preserve"> on the Single </w:t>
      </w:r>
      <w:proofErr w:type="spellStart"/>
      <w:r w:rsidRPr="00CD0174">
        <w:t>Resolution</w:t>
      </w:r>
      <w:proofErr w:type="spellEnd"/>
      <w:r w:rsidRPr="00CD0174">
        <w:t xml:space="preserve"> Board </w:t>
      </w:r>
      <w:proofErr w:type="spellStart"/>
      <w:r w:rsidRPr="00CD0174">
        <w:t>within</w:t>
      </w:r>
      <w:proofErr w:type="spellEnd"/>
      <w:r w:rsidRPr="00CD0174">
        <w:t xml:space="preserve"> the </w:t>
      </w:r>
      <w:proofErr w:type="spellStart"/>
      <w:r w:rsidRPr="00CD0174">
        <w:t>framework</w:t>
      </w:r>
      <w:proofErr w:type="spellEnd"/>
      <w:r w:rsidRPr="00CD0174">
        <w:t xml:space="preserve"> of the Single </w:t>
      </w:r>
      <w:proofErr w:type="spellStart"/>
      <w:r w:rsidRPr="00CD0174">
        <w:t>Resolution</w:t>
      </w:r>
      <w:proofErr w:type="spellEnd"/>
      <w:r w:rsidRPr="00CD0174">
        <w:t xml:space="preserve"> </w:t>
      </w:r>
      <w:proofErr w:type="spellStart"/>
      <w:r w:rsidRPr="00CD0174">
        <w:t>Mechanism</w:t>
      </w:r>
      <w:proofErr w:type="spellEnd"/>
      <w:r w:rsidR="00CD0174" w:rsidRPr="00CD0174">
        <w:t>, in GUUE 24.12.2015- V. anche, in termini gen</w:t>
      </w:r>
      <w:r w:rsidR="00CD0174">
        <w:t>e</w:t>
      </w:r>
      <w:r w:rsidR="00CD0174" w:rsidRPr="00CD0174">
        <w:t xml:space="preserve">rali, </w:t>
      </w:r>
      <w:r w:rsidR="00CD0174">
        <w:t>la Risoluzione del Parlamento europeo dell’11 marzo 2014 recante raccomandazioni alla Commissione concernenti il riesame del Sistema europeo di vigilanza finanziaria (2013/2166), nella quale si raccomanda, insieme, il rafforzamento dei poteri di coordinamento e vigilanza diretta attribuiti alle autorità europee,  l’adozione di misure per garantire un maggior grado di trasparenza e il potenziamento delle garanzie di indipendenza.</w:t>
      </w:r>
    </w:p>
  </w:footnote>
  <w:footnote w:id="30">
    <w:p w:rsidR="006149E2" w:rsidRPr="006149E2" w:rsidRDefault="006149E2">
      <w:pPr>
        <w:pStyle w:val="Testonotaapidipagina"/>
      </w:pPr>
      <w:r>
        <w:rPr>
          <w:rStyle w:val="Rimandonotaapidipagina"/>
        </w:rPr>
        <w:footnoteRef/>
      </w:r>
      <w:r w:rsidRPr="006149E2">
        <w:t xml:space="preserve"> V. Clarich, M., Il riesame amministrativo delle decisioni della Banca centrale europea</w:t>
      </w:r>
      <w:r>
        <w:t>, in Rivista italiana di diritto pubblico comunitario, n. 6, 2015</w:t>
      </w:r>
      <w:r w:rsidR="00736A05">
        <w:t xml:space="preserve">; </w:t>
      </w:r>
      <w:r w:rsidR="00736A05" w:rsidRPr="00736A05">
        <w:t xml:space="preserve">De Lucia, L. I ricorsi amministrativi nell’Unione europea dopo il Trattato di Lisbona, in </w:t>
      </w:r>
      <w:proofErr w:type="spellStart"/>
      <w:r w:rsidR="00736A05" w:rsidRPr="00736A05">
        <w:t>Riv</w:t>
      </w:r>
      <w:proofErr w:type="spellEnd"/>
      <w:r w:rsidR="00736A05" w:rsidRPr="00736A05">
        <w:t xml:space="preserve">, trim dir. </w:t>
      </w:r>
      <w:proofErr w:type="spellStart"/>
      <w:r w:rsidR="00736A05" w:rsidRPr="00736A05">
        <w:t>pubbl</w:t>
      </w:r>
      <w:proofErr w:type="spellEnd"/>
      <w:r w:rsidR="00736A05" w:rsidRPr="00736A05">
        <w:t xml:space="preserve">., 2013, 323; De Lucia, L. </w:t>
      </w:r>
      <w:proofErr w:type="spellStart"/>
      <w:r w:rsidR="00736A05" w:rsidRPr="00736A05">
        <w:t>Chirulli</w:t>
      </w:r>
      <w:proofErr w:type="spellEnd"/>
      <w:r w:rsidR="00736A05" w:rsidRPr="00736A05">
        <w:t xml:space="preserve">, P., </w:t>
      </w:r>
      <w:proofErr w:type="spellStart"/>
      <w:r w:rsidR="00736A05" w:rsidRPr="00736A05">
        <w:t>Specialized</w:t>
      </w:r>
      <w:proofErr w:type="spellEnd"/>
      <w:r w:rsidR="00736A05" w:rsidRPr="00736A05">
        <w:t xml:space="preserve"> </w:t>
      </w:r>
      <w:proofErr w:type="spellStart"/>
      <w:r w:rsidR="00736A05" w:rsidRPr="00736A05">
        <w:t>Adjudication</w:t>
      </w:r>
      <w:proofErr w:type="spellEnd"/>
      <w:r w:rsidR="00736A05" w:rsidRPr="00736A05">
        <w:t xml:space="preserve"> in EU </w:t>
      </w:r>
      <w:proofErr w:type="spellStart"/>
      <w:r w:rsidR="00736A05" w:rsidRPr="00736A05">
        <w:t>Administrative</w:t>
      </w:r>
      <w:proofErr w:type="spellEnd"/>
      <w:r w:rsidR="00736A05" w:rsidRPr="00736A05">
        <w:t xml:space="preserve"> Law - The </w:t>
      </w:r>
      <w:proofErr w:type="spellStart"/>
      <w:r w:rsidR="00736A05" w:rsidRPr="00736A05">
        <w:t>Boards</w:t>
      </w:r>
      <w:proofErr w:type="spellEnd"/>
      <w:r w:rsidR="00736A05" w:rsidRPr="00736A05">
        <w:t xml:space="preserve"> of Appeal of EU </w:t>
      </w:r>
      <w:proofErr w:type="spellStart"/>
      <w:r w:rsidR="00736A05" w:rsidRPr="00736A05">
        <w:t>Agencies</w:t>
      </w:r>
      <w:proofErr w:type="spellEnd"/>
      <w:r w:rsidR="00736A05" w:rsidRPr="00736A05">
        <w:t xml:space="preserve">, in </w:t>
      </w:r>
      <w:proofErr w:type="spellStart"/>
      <w:r w:rsidR="00736A05" w:rsidRPr="00736A05">
        <w:t>European</w:t>
      </w:r>
      <w:proofErr w:type="spellEnd"/>
      <w:r w:rsidR="00736A05" w:rsidRPr="00736A05">
        <w:t xml:space="preserve"> Law </w:t>
      </w:r>
      <w:proofErr w:type="spellStart"/>
      <w:r w:rsidR="00736A05" w:rsidRPr="00736A05">
        <w:t>Review</w:t>
      </w:r>
      <w:proofErr w:type="spellEnd"/>
      <w:r w:rsidR="00736A05" w:rsidRPr="00736A05">
        <w:t>, 2015, 832-857</w:t>
      </w:r>
      <w:r>
        <w:t>.</w:t>
      </w:r>
    </w:p>
  </w:footnote>
  <w:footnote w:id="31">
    <w:p w:rsidR="00952FF2" w:rsidRPr="007B5A5C" w:rsidRDefault="00952FF2" w:rsidP="00952FF2">
      <w:pPr>
        <w:pStyle w:val="Testonotaapidipagina"/>
      </w:pPr>
      <w:r>
        <w:rPr>
          <w:rStyle w:val="Rimandonotaapidipagina"/>
        </w:rPr>
        <w:footnoteRef/>
      </w:r>
      <w:r>
        <w:t xml:space="preserve"> La prima esperienza attuativa dimostra che il rimedio amministrativo ha costituito un utile filtro secondo </w:t>
      </w:r>
      <w:proofErr w:type="spellStart"/>
      <w:r>
        <w:t>Lamandini</w:t>
      </w:r>
      <w:proofErr w:type="spellEnd"/>
      <w:r>
        <w:t xml:space="preserve">, M., </w:t>
      </w:r>
      <w:proofErr w:type="spellStart"/>
      <w:r>
        <w:rPr>
          <w:i/>
        </w:rPr>
        <w:t>ESA’s</w:t>
      </w:r>
      <w:proofErr w:type="spellEnd"/>
      <w:r>
        <w:rPr>
          <w:i/>
        </w:rPr>
        <w:t xml:space="preserve"> Board of Appeal </w:t>
      </w:r>
      <w:proofErr w:type="spellStart"/>
      <w:r>
        <w:rPr>
          <w:i/>
        </w:rPr>
        <w:t>as</w:t>
      </w:r>
      <w:proofErr w:type="spellEnd"/>
      <w:r>
        <w:rPr>
          <w:i/>
        </w:rPr>
        <w:t xml:space="preserve"> a </w:t>
      </w:r>
      <w:proofErr w:type="spellStart"/>
      <w:r>
        <w:rPr>
          <w:i/>
        </w:rPr>
        <w:t>blueprint</w:t>
      </w:r>
      <w:proofErr w:type="spellEnd"/>
      <w:r>
        <w:rPr>
          <w:i/>
        </w:rPr>
        <w:t xml:space="preserve"> for the quasi-</w:t>
      </w:r>
      <w:proofErr w:type="spellStart"/>
      <w:r>
        <w:rPr>
          <w:i/>
        </w:rPr>
        <w:t>judicial</w:t>
      </w:r>
      <w:proofErr w:type="spellEnd"/>
      <w:r>
        <w:rPr>
          <w:i/>
        </w:rPr>
        <w:t xml:space="preserve"> </w:t>
      </w:r>
      <w:proofErr w:type="spellStart"/>
      <w:r>
        <w:rPr>
          <w:i/>
        </w:rPr>
        <w:t>review</w:t>
      </w:r>
      <w:proofErr w:type="spellEnd"/>
      <w:r>
        <w:rPr>
          <w:i/>
        </w:rPr>
        <w:t xml:space="preserve"> of </w:t>
      </w:r>
      <w:proofErr w:type="spellStart"/>
      <w:r>
        <w:rPr>
          <w:i/>
        </w:rPr>
        <w:t>European</w:t>
      </w:r>
      <w:proofErr w:type="spellEnd"/>
      <w:r>
        <w:rPr>
          <w:i/>
        </w:rPr>
        <w:t xml:space="preserve"> </w:t>
      </w:r>
      <w:proofErr w:type="spellStart"/>
      <w:r>
        <w:rPr>
          <w:i/>
        </w:rPr>
        <w:t>financial</w:t>
      </w:r>
      <w:proofErr w:type="spellEnd"/>
      <w:r>
        <w:rPr>
          <w:i/>
        </w:rPr>
        <w:t xml:space="preserve"> </w:t>
      </w:r>
      <w:proofErr w:type="spellStart"/>
      <w:r>
        <w:rPr>
          <w:i/>
        </w:rPr>
        <w:t>supervision</w:t>
      </w:r>
      <w:proofErr w:type="spellEnd"/>
      <w:r>
        <w:rPr>
          <w:i/>
        </w:rPr>
        <w:t xml:space="preserve">, </w:t>
      </w:r>
      <w:r>
        <w:t xml:space="preserve">in </w:t>
      </w:r>
      <w:proofErr w:type="spellStart"/>
      <w:r>
        <w:rPr>
          <w:i/>
        </w:rPr>
        <w:t>European</w:t>
      </w:r>
      <w:proofErr w:type="spellEnd"/>
      <w:r>
        <w:rPr>
          <w:i/>
        </w:rPr>
        <w:t xml:space="preserve"> Company Law</w:t>
      </w:r>
      <w:r>
        <w:t>, 2014, pag. 293.</w:t>
      </w:r>
    </w:p>
  </w:footnote>
  <w:footnote w:id="32">
    <w:p w:rsidR="00446089" w:rsidRPr="003324FB" w:rsidRDefault="00446089">
      <w:pPr>
        <w:pStyle w:val="Testonotaapidipagina"/>
        <w:rPr>
          <w:lang w:val="en-US"/>
        </w:rPr>
      </w:pPr>
      <w:r>
        <w:rPr>
          <w:rStyle w:val="Rimandonotaapidipagina"/>
        </w:rPr>
        <w:footnoteRef/>
      </w:r>
      <w:r w:rsidRPr="00446089">
        <w:rPr>
          <w:lang w:val="en-US"/>
        </w:rPr>
        <w:t xml:space="preserve"> </w:t>
      </w:r>
      <w:r w:rsidR="003324FB" w:rsidRPr="003324FB">
        <w:rPr>
          <w:lang w:val="en-US"/>
        </w:rPr>
        <w:t>Kaiser,</w:t>
      </w:r>
      <w:r w:rsidR="003324FB">
        <w:rPr>
          <w:lang w:val="en-US"/>
        </w:rPr>
        <w:t xml:space="preserve"> R.G.,</w:t>
      </w:r>
      <w:r w:rsidR="003324FB" w:rsidRPr="003324FB">
        <w:rPr>
          <w:lang w:val="en-US"/>
        </w:rPr>
        <w:t xml:space="preserve"> Act of Congress: How America's Essential Institution Works, and How It Doesn't, Vintage, 2014. </w:t>
      </w:r>
    </w:p>
  </w:footnote>
  <w:footnote w:id="33">
    <w:p w:rsidR="00782B5C" w:rsidRPr="006149E2" w:rsidRDefault="00782B5C">
      <w:pPr>
        <w:pStyle w:val="Testonotaapidipagina"/>
        <w:rPr>
          <w:lang w:val="en-US"/>
        </w:rPr>
      </w:pPr>
      <w:r>
        <w:rPr>
          <w:rStyle w:val="Rimandonotaapidipagina"/>
        </w:rPr>
        <w:footnoteRef/>
      </w:r>
      <w:r w:rsidRPr="00782B5C">
        <w:rPr>
          <w:lang w:val="en-US"/>
        </w:rPr>
        <w:t xml:space="preserve"> </w:t>
      </w:r>
      <w:r>
        <w:rPr>
          <w:lang w:val="en-US"/>
        </w:rPr>
        <w:t xml:space="preserve">V. </w:t>
      </w:r>
      <w:proofErr w:type="spellStart"/>
      <w:r w:rsidRPr="00782B5C">
        <w:rPr>
          <w:lang w:val="en-US"/>
        </w:rPr>
        <w:t>Andenas</w:t>
      </w:r>
      <w:proofErr w:type="spellEnd"/>
      <w:r w:rsidRPr="00782B5C">
        <w:rPr>
          <w:lang w:val="en-US"/>
        </w:rPr>
        <w:t xml:space="preserve">, </w:t>
      </w:r>
      <w:r w:rsidR="006149E2">
        <w:rPr>
          <w:lang w:val="en-US"/>
        </w:rPr>
        <w:t xml:space="preserve">M., </w:t>
      </w:r>
      <w:r w:rsidRPr="00782B5C">
        <w:rPr>
          <w:lang w:val="en-US"/>
        </w:rPr>
        <w:t xml:space="preserve">Chiu, </w:t>
      </w:r>
      <w:r w:rsidR="006149E2" w:rsidRPr="00782B5C">
        <w:rPr>
          <w:lang w:val="en-US"/>
        </w:rPr>
        <w:t>I.H.-Y,</w:t>
      </w:r>
      <w:r w:rsidR="006149E2">
        <w:rPr>
          <w:lang w:val="en-US"/>
        </w:rPr>
        <w:t xml:space="preserve"> </w:t>
      </w:r>
      <w:r w:rsidRPr="00782B5C">
        <w:rPr>
          <w:lang w:val="en-US"/>
        </w:rPr>
        <w:t>The Foundations and Future of Financial Regulation, Governance for Responsibility, Lond</w:t>
      </w:r>
      <w:r>
        <w:rPr>
          <w:lang w:val="en-US"/>
        </w:rPr>
        <w:t xml:space="preserve">on-New York, Routledge, 2014; </w:t>
      </w:r>
      <w:proofErr w:type="spellStart"/>
      <w:r>
        <w:rPr>
          <w:lang w:val="en-US"/>
        </w:rPr>
        <w:t>Chiti</w:t>
      </w:r>
      <w:proofErr w:type="spellEnd"/>
      <w:r>
        <w:rPr>
          <w:lang w:val="en-US"/>
        </w:rPr>
        <w:t>,</w:t>
      </w:r>
      <w:r w:rsidR="006149E2">
        <w:rPr>
          <w:lang w:val="en-US"/>
        </w:rPr>
        <w:t xml:space="preserve"> E.,</w:t>
      </w:r>
      <w:r>
        <w:rPr>
          <w:lang w:val="en-US"/>
        </w:rPr>
        <w:t xml:space="preserve"> Vesperini, </w:t>
      </w:r>
      <w:r w:rsidR="006149E2">
        <w:rPr>
          <w:lang w:val="en-US"/>
        </w:rPr>
        <w:t xml:space="preserve">G., </w:t>
      </w:r>
      <w:r>
        <w:rPr>
          <w:lang w:val="en-US"/>
        </w:rPr>
        <w:t>(eds.), The Administrative Architecture of Financial Integration</w:t>
      </w:r>
      <w:r w:rsidR="006149E2">
        <w:rPr>
          <w:lang w:val="en-US"/>
        </w:rPr>
        <w:t>, cit.</w:t>
      </w:r>
    </w:p>
  </w:footnote>
  <w:footnote w:id="34">
    <w:p w:rsidR="000B1CAE" w:rsidRPr="000B1CAE" w:rsidRDefault="000B1CAE">
      <w:pPr>
        <w:pStyle w:val="Testonotaapidipagina"/>
        <w:rPr>
          <w:lang w:val="en-US"/>
        </w:rPr>
      </w:pPr>
      <w:r>
        <w:rPr>
          <w:rStyle w:val="Rimandonotaapidipagina"/>
        </w:rPr>
        <w:footnoteRef/>
      </w:r>
      <w:r w:rsidRPr="000B1CAE">
        <w:rPr>
          <w:lang w:val="en-US"/>
        </w:rPr>
        <w:t xml:space="preserve"> M. Scholte, A. </w:t>
      </w:r>
      <w:proofErr w:type="spellStart"/>
      <w:r w:rsidRPr="000B1CAE">
        <w:rPr>
          <w:lang w:val="en-US"/>
        </w:rPr>
        <w:t>Ottow</w:t>
      </w:r>
      <w:proofErr w:type="spellEnd"/>
      <w:r w:rsidRPr="000B1CAE">
        <w:rPr>
          <w:lang w:val="en-US"/>
        </w:rPr>
        <w:t xml:space="preserve">, Institutional Design </w:t>
      </w:r>
      <w:r w:rsidR="00CA0DB9">
        <w:rPr>
          <w:lang w:val="en-US"/>
        </w:rPr>
        <w:t>of Enforcement</w:t>
      </w:r>
      <w:r>
        <w:rPr>
          <w:lang w:val="en-US"/>
        </w:rPr>
        <w:t xml:space="preserve"> in the EU: The C</w:t>
      </w:r>
      <w:r w:rsidRPr="000B1CAE">
        <w:rPr>
          <w:lang w:val="en-US"/>
        </w:rPr>
        <w:t xml:space="preserve">ase of Financial </w:t>
      </w:r>
      <w:r>
        <w:rPr>
          <w:lang w:val="en-US"/>
        </w:rPr>
        <w:t xml:space="preserve">Markets, Utrecht Law </w:t>
      </w:r>
      <w:r w:rsidR="00CA0DB9">
        <w:rPr>
          <w:lang w:val="en-US"/>
        </w:rPr>
        <w:t>R</w:t>
      </w:r>
      <w:r w:rsidRPr="000B1CAE">
        <w:rPr>
          <w:lang w:val="en-US"/>
        </w:rPr>
        <w:t>eview, 5, 2014, 80.</w:t>
      </w:r>
    </w:p>
  </w:footnote>
  <w:footnote w:id="35">
    <w:p w:rsidR="008D59E1" w:rsidRDefault="008D59E1" w:rsidP="008D59E1">
      <w:pPr>
        <w:pStyle w:val="Testonotaapidipagina"/>
      </w:pPr>
      <w:r>
        <w:rPr>
          <w:rStyle w:val="Rimandonotaapidipagina"/>
        </w:rPr>
        <w:footnoteRef/>
      </w:r>
      <w:r>
        <w:t xml:space="preserve"> T</w:t>
      </w:r>
      <w:r w:rsidRPr="00F2377D">
        <w:t>orchia,</w:t>
      </w:r>
      <w:r>
        <w:t xml:space="preserve"> L.,</w:t>
      </w:r>
      <w:r w:rsidRPr="00F2377D">
        <w:t xml:space="preserve"> Moneta, banca e finanza fra unificazione europea e crisi economica, in Rivista italiana di diritto pubblico comunitario, n. 6, 2015</w:t>
      </w:r>
      <w:r>
        <w:t>.</w:t>
      </w:r>
    </w:p>
  </w:footnote>
  <w:footnote w:id="36">
    <w:p w:rsidR="00A66D46" w:rsidRPr="00A66D46" w:rsidRDefault="00A66D46">
      <w:pPr>
        <w:pStyle w:val="Testonotaapidipagina"/>
        <w:rPr>
          <w:lang w:val="en-US"/>
        </w:rPr>
      </w:pPr>
      <w:r>
        <w:rPr>
          <w:rStyle w:val="Rimandonotaapidipagina"/>
        </w:rPr>
        <w:footnoteRef/>
      </w:r>
      <w:r w:rsidRPr="00A66D46">
        <w:rPr>
          <w:lang w:val="en-US"/>
        </w:rPr>
        <w:t xml:space="preserve"> </w:t>
      </w:r>
      <w:proofErr w:type="spellStart"/>
      <w:r w:rsidRPr="00A66D46">
        <w:rPr>
          <w:lang w:val="en-US"/>
        </w:rPr>
        <w:t>Meny</w:t>
      </w:r>
      <w:proofErr w:type="spellEnd"/>
      <w:r w:rsidRPr="00A66D46">
        <w:rPr>
          <w:lang w:val="en-US"/>
        </w:rPr>
        <w:t>,</w:t>
      </w:r>
      <w:r>
        <w:rPr>
          <w:lang w:val="en-US"/>
        </w:rPr>
        <w:t xml:space="preserve"> Y.,</w:t>
      </w:r>
      <w:r w:rsidRPr="00A66D46">
        <w:rPr>
          <w:lang w:val="en-US"/>
        </w:rPr>
        <w:t xml:space="preserve"> «It's politics, stupid!»: The hollowing out of politics in Europe - and its return, with a vengeance, in </w:t>
      </w:r>
      <w:proofErr w:type="spellStart"/>
      <w:r w:rsidRPr="00A66D46">
        <w:rPr>
          <w:lang w:val="en-US"/>
        </w:rPr>
        <w:t>Stato</w:t>
      </w:r>
      <w:proofErr w:type="spellEnd"/>
      <w:r w:rsidRPr="00A66D46">
        <w:rPr>
          <w:lang w:val="en-US"/>
        </w:rPr>
        <w:t xml:space="preserve"> e </w:t>
      </w:r>
      <w:proofErr w:type="spellStart"/>
      <w:r w:rsidRPr="00A66D46">
        <w:rPr>
          <w:lang w:val="en-US"/>
        </w:rPr>
        <w:t>mercato</w:t>
      </w:r>
      <w:proofErr w:type="spellEnd"/>
      <w:r w:rsidRPr="00A66D46">
        <w:rPr>
          <w:lang w:val="en-US"/>
        </w:rPr>
        <w:t>, 1, 2015, p. 3-28</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1668"/>
    <w:multiLevelType w:val="hybridMultilevel"/>
    <w:tmpl w:val="4DB2F7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E4E218F"/>
    <w:multiLevelType w:val="hybridMultilevel"/>
    <w:tmpl w:val="550C46F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36201A4A"/>
    <w:multiLevelType w:val="hybridMultilevel"/>
    <w:tmpl w:val="6EA417C6"/>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3">
    <w:nsid w:val="36E07797"/>
    <w:multiLevelType w:val="hybridMultilevel"/>
    <w:tmpl w:val="7EDE71F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nsid w:val="39EA0D8F"/>
    <w:multiLevelType w:val="hybridMultilevel"/>
    <w:tmpl w:val="C5943F9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4A6559A2"/>
    <w:multiLevelType w:val="hybridMultilevel"/>
    <w:tmpl w:val="031EF62A"/>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6">
    <w:nsid w:val="508B1FCB"/>
    <w:multiLevelType w:val="hybridMultilevel"/>
    <w:tmpl w:val="45A095C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nsid w:val="615375A5"/>
    <w:multiLevelType w:val="hybridMultilevel"/>
    <w:tmpl w:val="58E4792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nsid w:val="68321562"/>
    <w:multiLevelType w:val="hybridMultilevel"/>
    <w:tmpl w:val="106EBE4E"/>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9">
    <w:nsid w:val="68A67D1B"/>
    <w:multiLevelType w:val="hybridMultilevel"/>
    <w:tmpl w:val="7F127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num>
  <w:num w:numId="2">
    <w:abstractNumId w:val="6"/>
  </w:num>
  <w:num w:numId="3">
    <w:abstractNumId w:val="8"/>
  </w:num>
  <w:num w:numId="4">
    <w:abstractNumId w:val="2"/>
  </w:num>
  <w:num w:numId="5">
    <w:abstractNumId w:val="3"/>
  </w:num>
  <w:num w:numId="6">
    <w:abstractNumId w:val="5"/>
  </w:num>
  <w:num w:numId="7">
    <w:abstractNumId w:val="9"/>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4F"/>
    <w:rsid w:val="00006516"/>
    <w:rsid w:val="000227F3"/>
    <w:rsid w:val="00042295"/>
    <w:rsid w:val="00046531"/>
    <w:rsid w:val="00050848"/>
    <w:rsid w:val="00060522"/>
    <w:rsid w:val="00063E81"/>
    <w:rsid w:val="0006716C"/>
    <w:rsid w:val="000814CF"/>
    <w:rsid w:val="00082898"/>
    <w:rsid w:val="00087877"/>
    <w:rsid w:val="000A1BE5"/>
    <w:rsid w:val="000B1CAE"/>
    <w:rsid w:val="000B5209"/>
    <w:rsid w:val="000C2C95"/>
    <w:rsid w:val="000D06D2"/>
    <w:rsid w:val="000D2419"/>
    <w:rsid w:val="00100769"/>
    <w:rsid w:val="00134E69"/>
    <w:rsid w:val="00157632"/>
    <w:rsid w:val="00162DF1"/>
    <w:rsid w:val="0016347A"/>
    <w:rsid w:val="00171557"/>
    <w:rsid w:val="00183007"/>
    <w:rsid w:val="0019354C"/>
    <w:rsid w:val="001A2BB8"/>
    <w:rsid w:val="001C16D0"/>
    <w:rsid w:val="001C6896"/>
    <w:rsid w:val="001F2A98"/>
    <w:rsid w:val="001F555A"/>
    <w:rsid w:val="00210A6F"/>
    <w:rsid w:val="00210AB8"/>
    <w:rsid w:val="00220620"/>
    <w:rsid w:val="00242BF5"/>
    <w:rsid w:val="00250F75"/>
    <w:rsid w:val="00251806"/>
    <w:rsid w:val="002C7A53"/>
    <w:rsid w:val="002D11C1"/>
    <w:rsid w:val="002F2694"/>
    <w:rsid w:val="002F56FE"/>
    <w:rsid w:val="00311C6D"/>
    <w:rsid w:val="00317F61"/>
    <w:rsid w:val="00320D84"/>
    <w:rsid w:val="003324FB"/>
    <w:rsid w:val="003326E2"/>
    <w:rsid w:val="00335BB8"/>
    <w:rsid w:val="003531F5"/>
    <w:rsid w:val="00366A49"/>
    <w:rsid w:val="0037742F"/>
    <w:rsid w:val="0038067D"/>
    <w:rsid w:val="003A076C"/>
    <w:rsid w:val="003B24BA"/>
    <w:rsid w:val="003B648F"/>
    <w:rsid w:val="003B7134"/>
    <w:rsid w:val="003C3097"/>
    <w:rsid w:val="003E03AC"/>
    <w:rsid w:val="00400000"/>
    <w:rsid w:val="00415AAF"/>
    <w:rsid w:val="004269D6"/>
    <w:rsid w:val="00446089"/>
    <w:rsid w:val="00456F24"/>
    <w:rsid w:val="00461D23"/>
    <w:rsid w:val="00476354"/>
    <w:rsid w:val="00487E1B"/>
    <w:rsid w:val="004957BD"/>
    <w:rsid w:val="004B2EAC"/>
    <w:rsid w:val="004D40BB"/>
    <w:rsid w:val="004D6DA0"/>
    <w:rsid w:val="004E16F3"/>
    <w:rsid w:val="004F58B5"/>
    <w:rsid w:val="005102D3"/>
    <w:rsid w:val="0052506A"/>
    <w:rsid w:val="00534F7C"/>
    <w:rsid w:val="00537F1C"/>
    <w:rsid w:val="00545A2A"/>
    <w:rsid w:val="00560932"/>
    <w:rsid w:val="00565E27"/>
    <w:rsid w:val="005A4A79"/>
    <w:rsid w:val="005A65B7"/>
    <w:rsid w:val="005B1FA5"/>
    <w:rsid w:val="005D3B7E"/>
    <w:rsid w:val="005E47EA"/>
    <w:rsid w:val="005F4D55"/>
    <w:rsid w:val="005F74CE"/>
    <w:rsid w:val="00607D5D"/>
    <w:rsid w:val="006149E2"/>
    <w:rsid w:val="00632E6B"/>
    <w:rsid w:val="00654890"/>
    <w:rsid w:val="00664A81"/>
    <w:rsid w:val="0067420C"/>
    <w:rsid w:val="006C33CE"/>
    <w:rsid w:val="006D4495"/>
    <w:rsid w:val="006D5952"/>
    <w:rsid w:val="006F0BCC"/>
    <w:rsid w:val="007204F9"/>
    <w:rsid w:val="007316E8"/>
    <w:rsid w:val="00736A05"/>
    <w:rsid w:val="00781C9D"/>
    <w:rsid w:val="00782B5C"/>
    <w:rsid w:val="00784B87"/>
    <w:rsid w:val="007A298C"/>
    <w:rsid w:val="007B48FE"/>
    <w:rsid w:val="007D3D6F"/>
    <w:rsid w:val="0080066C"/>
    <w:rsid w:val="00811302"/>
    <w:rsid w:val="00822E1D"/>
    <w:rsid w:val="00841740"/>
    <w:rsid w:val="0084336F"/>
    <w:rsid w:val="00844759"/>
    <w:rsid w:val="00850077"/>
    <w:rsid w:val="0089201F"/>
    <w:rsid w:val="00895477"/>
    <w:rsid w:val="008A3A8F"/>
    <w:rsid w:val="008C1040"/>
    <w:rsid w:val="008D2D86"/>
    <w:rsid w:val="008D59E1"/>
    <w:rsid w:val="008F507A"/>
    <w:rsid w:val="00907E23"/>
    <w:rsid w:val="0092156F"/>
    <w:rsid w:val="00923165"/>
    <w:rsid w:val="00932462"/>
    <w:rsid w:val="009340C8"/>
    <w:rsid w:val="00952FF2"/>
    <w:rsid w:val="00960FDD"/>
    <w:rsid w:val="009C3556"/>
    <w:rsid w:val="009D3F3C"/>
    <w:rsid w:val="00A05052"/>
    <w:rsid w:val="00A15286"/>
    <w:rsid w:val="00A274EA"/>
    <w:rsid w:val="00A31867"/>
    <w:rsid w:val="00A43C42"/>
    <w:rsid w:val="00A62EDE"/>
    <w:rsid w:val="00A63FFE"/>
    <w:rsid w:val="00A66D46"/>
    <w:rsid w:val="00A67F09"/>
    <w:rsid w:val="00A74F67"/>
    <w:rsid w:val="00A81630"/>
    <w:rsid w:val="00A87C4F"/>
    <w:rsid w:val="00B03624"/>
    <w:rsid w:val="00B11C96"/>
    <w:rsid w:val="00B17295"/>
    <w:rsid w:val="00B20D62"/>
    <w:rsid w:val="00B25E0B"/>
    <w:rsid w:val="00B30BD6"/>
    <w:rsid w:val="00B50361"/>
    <w:rsid w:val="00B51323"/>
    <w:rsid w:val="00B51327"/>
    <w:rsid w:val="00B52E99"/>
    <w:rsid w:val="00B640BB"/>
    <w:rsid w:val="00B70721"/>
    <w:rsid w:val="00B82C60"/>
    <w:rsid w:val="00B860A1"/>
    <w:rsid w:val="00B9304D"/>
    <w:rsid w:val="00BA7F53"/>
    <w:rsid w:val="00BB4CA2"/>
    <w:rsid w:val="00BC0C96"/>
    <w:rsid w:val="00BD4CC8"/>
    <w:rsid w:val="00BE1287"/>
    <w:rsid w:val="00C03492"/>
    <w:rsid w:val="00C05A9C"/>
    <w:rsid w:val="00C067EE"/>
    <w:rsid w:val="00C169AA"/>
    <w:rsid w:val="00C54662"/>
    <w:rsid w:val="00C60E73"/>
    <w:rsid w:val="00C800BB"/>
    <w:rsid w:val="00C92DD3"/>
    <w:rsid w:val="00C95AB6"/>
    <w:rsid w:val="00CA0DB9"/>
    <w:rsid w:val="00CD0174"/>
    <w:rsid w:val="00CD70E6"/>
    <w:rsid w:val="00D00D0A"/>
    <w:rsid w:val="00D23EDD"/>
    <w:rsid w:val="00D301DF"/>
    <w:rsid w:val="00D440D7"/>
    <w:rsid w:val="00D61895"/>
    <w:rsid w:val="00D654E4"/>
    <w:rsid w:val="00D81A78"/>
    <w:rsid w:val="00D81E4F"/>
    <w:rsid w:val="00D853EF"/>
    <w:rsid w:val="00D9213D"/>
    <w:rsid w:val="00D97874"/>
    <w:rsid w:val="00DC1433"/>
    <w:rsid w:val="00DC21B7"/>
    <w:rsid w:val="00DC287A"/>
    <w:rsid w:val="00E05F69"/>
    <w:rsid w:val="00E14D23"/>
    <w:rsid w:val="00E36C71"/>
    <w:rsid w:val="00E4401D"/>
    <w:rsid w:val="00E50962"/>
    <w:rsid w:val="00E574BE"/>
    <w:rsid w:val="00E61DEA"/>
    <w:rsid w:val="00E62DEB"/>
    <w:rsid w:val="00E93670"/>
    <w:rsid w:val="00E9782D"/>
    <w:rsid w:val="00EA4026"/>
    <w:rsid w:val="00EB3814"/>
    <w:rsid w:val="00EC759E"/>
    <w:rsid w:val="00EF2668"/>
    <w:rsid w:val="00F073D9"/>
    <w:rsid w:val="00F102D3"/>
    <w:rsid w:val="00F2377D"/>
    <w:rsid w:val="00F37218"/>
    <w:rsid w:val="00F40BC1"/>
    <w:rsid w:val="00F60729"/>
    <w:rsid w:val="00F6692E"/>
    <w:rsid w:val="00F75626"/>
    <w:rsid w:val="00F81553"/>
    <w:rsid w:val="00FB526F"/>
    <w:rsid w:val="00FC5E41"/>
    <w:rsid w:val="00FD6B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5AA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87C4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87C4F"/>
  </w:style>
  <w:style w:type="paragraph" w:styleId="Pidipagina">
    <w:name w:val="footer"/>
    <w:basedOn w:val="Normale"/>
    <w:link w:val="PidipaginaCarattere"/>
    <w:uiPriority w:val="99"/>
    <w:unhideWhenUsed/>
    <w:rsid w:val="00A87C4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87C4F"/>
  </w:style>
  <w:style w:type="paragraph" w:styleId="Paragrafoelenco">
    <w:name w:val="List Paragraph"/>
    <w:basedOn w:val="Normale"/>
    <w:uiPriority w:val="34"/>
    <w:qFormat/>
    <w:rsid w:val="00EA4026"/>
    <w:pPr>
      <w:ind w:left="720"/>
      <w:contextualSpacing/>
    </w:pPr>
  </w:style>
  <w:style w:type="paragraph" w:customStyle="1" w:styleId="CM12">
    <w:name w:val="CM1+2"/>
    <w:basedOn w:val="Normale"/>
    <w:next w:val="Normale"/>
    <w:uiPriority w:val="99"/>
    <w:rsid w:val="002D11C1"/>
    <w:pPr>
      <w:autoSpaceDE w:val="0"/>
      <w:autoSpaceDN w:val="0"/>
      <w:adjustRightInd w:val="0"/>
      <w:spacing w:line="240" w:lineRule="auto"/>
      <w:ind w:firstLine="0"/>
      <w:jc w:val="left"/>
    </w:pPr>
    <w:rPr>
      <w:rFonts w:ascii="EUAlbertina" w:hAnsi="EUAlbertina" w:cstheme="minorBidi"/>
    </w:rPr>
  </w:style>
  <w:style w:type="paragraph" w:customStyle="1" w:styleId="CM32">
    <w:name w:val="CM3+2"/>
    <w:basedOn w:val="Normale"/>
    <w:next w:val="Normale"/>
    <w:uiPriority w:val="99"/>
    <w:rsid w:val="002D11C1"/>
    <w:pPr>
      <w:autoSpaceDE w:val="0"/>
      <w:autoSpaceDN w:val="0"/>
      <w:adjustRightInd w:val="0"/>
      <w:spacing w:line="240" w:lineRule="auto"/>
      <w:ind w:firstLine="0"/>
      <w:jc w:val="left"/>
    </w:pPr>
    <w:rPr>
      <w:rFonts w:ascii="EUAlbertina" w:hAnsi="EUAlbertina" w:cstheme="minorBidi"/>
    </w:rPr>
  </w:style>
  <w:style w:type="paragraph" w:customStyle="1" w:styleId="CM42">
    <w:name w:val="CM4+2"/>
    <w:basedOn w:val="Normale"/>
    <w:next w:val="Normale"/>
    <w:uiPriority w:val="99"/>
    <w:rsid w:val="002D11C1"/>
    <w:pPr>
      <w:autoSpaceDE w:val="0"/>
      <w:autoSpaceDN w:val="0"/>
      <w:adjustRightInd w:val="0"/>
      <w:spacing w:line="240" w:lineRule="auto"/>
      <w:ind w:firstLine="0"/>
      <w:jc w:val="left"/>
    </w:pPr>
    <w:rPr>
      <w:rFonts w:ascii="EUAlbertina" w:hAnsi="EUAlbertina" w:cstheme="minorBidi"/>
    </w:rPr>
  </w:style>
  <w:style w:type="paragraph" w:customStyle="1" w:styleId="CM1">
    <w:name w:val="CM1"/>
    <w:basedOn w:val="Normale"/>
    <w:next w:val="Normale"/>
    <w:uiPriority w:val="99"/>
    <w:rsid w:val="00E36C71"/>
    <w:pPr>
      <w:autoSpaceDE w:val="0"/>
      <w:autoSpaceDN w:val="0"/>
      <w:adjustRightInd w:val="0"/>
      <w:spacing w:line="240" w:lineRule="auto"/>
      <w:ind w:firstLine="0"/>
      <w:jc w:val="left"/>
    </w:pPr>
    <w:rPr>
      <w:rFonts w:ascii="EUAlbertina" w:hAnsi="EUAlbertina" w:cstheme="minorBidi"/>
    </w:rPr>
  </w:style>
  <w:style w:type="paragraph" w:styleId="Testonotaapidipagina">
    <w:name w:val="footnote text"/>
    <w:basedOn w:val="Normale"/>
    <w:link w:val="TestonotaapidipaginaCarattere"/>
    <w:unhideWhenUsed/>
    <w:rsid w:val="004957BD"/>
    <w:pPr>
      <w:spacing w:line="240" w:lineRule="auto"/>
    </w:pPr>
    <w:rPr>
      <w:rFonts w:cstheme="minorBidi"/>
      <w:sz w:val="20"/>
      <w:szCs w:val="20"/>
    </w:rPr>
  </w:style>
  <w:style w:type="character" w:customStyle="1" w:styleId="TestonotaapidipaginaCarattere">
    <w:name w:val="Testo nota a piè di pagina Carattere"/>
    <w:basedOn w:val="Carpredefinitoparagrafo"/>
    <w:link w:val="Testonotaapidipagina"/>
    <w:rsid w:val="004957BD"/>
    <w:rPr>
      <w:rFonts w:cstheme="minorBidi"/>
      <w:sz w:val="20"/>
      <w:szCs w:val="20"/>
    </w:rPr>
  </w:style>
  <w:style w:type="character" w:styleId="Rimandonotaapidipagina">
    <w:name w:val="footnote reference"/>
    <w:basedOn w:val="Carpredefinitoparagrafo"/>
    <w:unhideWhenUsed/>
    <w:rsid w:val="004957BD"/>
    <w:rPr>
      <w:vertAlign w:val="superscript"/>
    </w:rPr>
  </w:style>
  <w:style w:type="character" w:styleId="Collegamentoipertestuale">
    <w:name w:val="Hyperlink"/>
    <w:basedOn w:val="Carpredefinitoparagrafo"/>
    <w:uiPriority w:val="99"/>
    <w:unhideWhenUsed/>
    <w:rsid w:val="006D5952"/>
    <w:rPr>
      <w:color w:val="0000FF" w:themeColor="hyperlink"/>
      <w:u w:val="single"/>
    </w:rPr>
  </w:style>
  <w:style w:type="paragraph" w:styleId="Testofumetto">
    <w:name w:val="Balloon Text"/>
    <w:basedOn w:val="Normale"/>
    <w:link w:val="TestofumettoCarattere"/>
    <w:uiPriority w:val="99"/>
    <w:semiHidden/>
    <w:unhideWhenUsed/>
    <w:rsid w:val="003A076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07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15AA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87C4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87C4F"/>
  </w:style>
  <w:style w:type="paragraph" w:styleId="Pidipagina">
    <w:name w:val="footer"/>
    <w:basedOn w:val="Normale"/>
    <w:link w:val="PidipaginaCarattere"/>
    <w:uiPriority w:val="99"/>
    <w:unhideWhenUsed/>
    <w:rsid w:val="00A87C4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87C4F"/>
  </w:style>
  <w:style w:type="paragraph" w:styleId="Paragrafoelenco">
    <w:name w:val="List Paragraph"/>
    <w:basedOn w:val="Normale"/>
    <w:uiPriority w:val="34"/>
    <w:qFormat/>
    <w:rsid w:val="00EA4026"/>
    <w:pPr>
      <w:ind w:left="720"/>
      <w:contextualSpacing/>
    </w:pPr>
  </w:style>
  <w:style w:type="paragraph" w:customStyle="1" w:styleId="CM12">
    <w:name w:val="CM1+2"/>
    <w:basedOn w:val="Normale"/>
    <w:next w:val="Normale"/>
    <w:uiPriority w:val="99"/>
    <w:rsid w:val="002D11C1"/>
    <w:pPr>
      <w:autoSpaceDE w:val="0"/>
      <w:autoSpaceDN w:val="0"/>
      <w:adjustRightInd w:val="0"/>
      <w:spacing w:line="240" w:lineRule="auto"/>
      <w:ind w:firstLine="0"/>
      <w:jc w:val="left"/>
    </w:pPr>
    <w:rPr>
      <w:rFonts w:ascii="EUAlbertina" w:hAnsi="EUAlbertina" w:cstheme="minorBidi"/>
    </w:rPr>
  </w:style>
  <w:style w:type="paragraph" w:customStyle="1" w:styleId="CM32">
    <w:name w:val="CM3+2"/>
    <w:basedOn w:val="Normale"/>
    <w:next w:val="Normale"/>
    <w:uiPriority w:val="99"/>
    <w:rsid w:val="002D11C1"/>
    <w:pPr>
      <w:autoSpaceDE w:val="0"/>
      <w:autoSpaceDN w:val="0"/>
      <w:adjustRightInd w:val="0"/>
      <w:spacing w:line="240" w:lineRule="auto"/>
      <w:ind w:firstLine="0"/>
      <w:jc w:val="left"/>
    </w:pPr>
    <w:rPr>
      <w:rFonts w:ascii="EUAlbertina" w:hAnsi="EUAlbertina" w:cstheme="minorBidi"/>
    </w:rPr>
  </w:style>
  <w:style w:type="paragraph" w:customStyle="1" w:styleId="CM42">
    <w:name w:val="CM4+2"/>
    <w:basedOn w:val="Normale"/>
    <w:next w:val="Normale"/>
    <w:uiPriority w:val="99"/>
    <w:rsid w:val="002D11C1"/>
    <w:pPr>
      <w:autoSpaceDE w:val="0"/>
      <w:autoSpaceDN w:val="0"/>
      <w:adjustRightInd w:val="0"/>
      <w:spacing w:line="240" w:lineRule="auto"/>
      <w:ind w:firstLine="0"/>
      <w:jc w:val="left"/>
    </w:pPr>
    <w:rPr>
      <w:rFonts w:ascii="EUAlbertina" w:hAnsi="EUAlbertina" w:cstheme="minorBidi"/>
    </w:rPr>
  </w:style>
  <w:style w:type="paragraph" w:customStyle="1" w:styleId="CM1">
    <w:name w:val="CM1"/>
    <w:basedOn w:val="Normale"/>
    <w:next w:val="Normale"/>
    <w:uiPriority w:val="99"/>
    <w:rsid w:val="00E36C71"/>
    <w:pPr>
      <w:autoSpaceDE w:val="0"/>
      <w:autoSpaceDN w:val="0"/>
      <w:adjustRightInd w:val="0"/>
      <w:spacing w:line="240" w:lineRule="auto"/>
      <w:ind w:firstLine="0"/>
      <w:jc w:val="left"/>
    </w:pPr>
    <w:rPr>
      <w:rFonts w:ascii="EUAlbertina" w:hAnsi="EUAlbertina" w:cstheme="minorBidi"/>
    </w:rPr>
  </w:style>
  <w:style w:type="paragraph" w:styleId="Testonotaapidipagina">
    <w:name w:val="footnote text"/>
    <w:basedOn w:val="Normale"/>
    <w:link w:val="TestonotaapidipaginaCarattere"/>
    <w:unhideWhenUsed/>
    <w:rsid w:val="004957BD"/>
    <w:pPr>
      <w:spacing w:line="240" w:lineRule="auto"/>
    </w:pPr>
    <w:rPr>
      <w:rFonts w:cstheme="minorBidi"/>
      <w:sz w:val="20"/>
      <w:szCs w:val="20"/>
    </w:rPr>
  </w:style>
  <w:style w:type="character" w:customStyle="1" w:styleId="TestonotaapidipaginaCarattere">
    <w:name w:val="Testo nota a piè di pagina Carattere"/>
    <w:basedOn w:val="Carpredefinitoparagrafo"/>
    <w:link w:val="Testonotaapidipagina"/>
    <w:rsid w:val="004957BD"/>
    <w:rPr>
      <w:rFonts w:cstheme="minorBidi"/>
      <w:sz w:val="20"/>
      <w:szCs w:val="20"/>
    </w:rPr>
  </w:style>
  <w:style w:type="character" w:styleId="Rimandonotaapidipagina">
    <w:name w:val="footnote reference"/>
    <w:basedOn w:val="Carpredefinitoparagrafo"/>
    <w:unhideWhenUsed/>
    <w:rsid w:val="004957BD"/>
    <w:rPr>
      <w:vertAlign w:val="superscript"/>
    </w:rPr>
  </w:style>
  <w:style w:type="character" w:styleId="Collegamentoipertestuale">
    <w:name w:val="Hyperlink"/>
    <w:basedOn w:val="Carpredefinitoparagrafo"/>
    <w:uiPriority w:val="99"/>
    <w:unhideWhenUsed/>
    <w:rsid w:val="006D5952"/>
    <w:rPr>
      <w:color w:val="0000FF" w:themeColor="hyperlink"/>
      <w:u w:val="single"/>
    </w:rPr>
  </w:style>
  <w:style w:type="paragraph" w:styleId="Testofumetto">
    <w:name w:val="Balloon Text"/>
    <w:basedOn w:val="Normale"/>
    <w:link w:val="TestofumettoCarattere"/>
    <w:uiPriority w:val="99"/>
    <w:semiHidden/>
    <w:unhideWhenUsed/>
    <w:rsid w:val="003A076C"/>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07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2866-71D7-49B5-9EB1-1C8D9961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7390</Words>
  <Characters>42125</Characters>
  <Application>Microsoft Office Word</Application>
  <DocSecurity>0</DocSecurity>
  <Lines>351</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Avv. Luisa Torchia</dc:creator>
  <cp:lastModifiedBy>Prof. Avv. Luisa Torchia</cp:lastModifiedBy>
  <cp:revision>4</cp:revision>
  <cp:lastPrinted>2016-01-27T16:37:00Z</cp:lastPrinted>
  <dcterms:created xsi:type="dcterms:W3CDTF">2016-02-02T12:42:00Z</dcterms:created>
  <dcterms:modified xsi:type="dcterms:W3CDTF">2016-03-04T09:23:00Z</dcterms:modified>
</cp:coreProperties>
</file>