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A4" w:rsidRDefault="008C1DA4" w:rsidP="008C1DA4">
      <w:pPr>
        <w:jc w:val="center"/>
        <w:rPr>
          <w:sz w:val="28"/>
          <w:szCs w:val="28"/>
        </w:rPr>
      </w:pPr>
    </w:p>
    <w:p w:rsidR="008C1DA4" w:rsidRDefault="008C1DA4" w:rsidP="008C1DA4">
      <w:pPr>
        <w:jc w:val="center"/>
        <w:rPr>
          <w:sz w:val="28"/>
          <w:szCs w:val="28"/>
        </w:rPr>
      </w:pPr>
    </w:p>
    <w:p w:rsidR="008C1DA4" w:rsidRDefault="008C1DA4" w:rsidP="008C1DA4">
      <w:pPr>
        <w:jc w:val="center"/>
        <w:rPr>
          <w:sz w:val="28"/>
          <w:szCs w:val="28"/>
        </w:rPr>
      </w:pPr>
    </w:p>
    <w:p w:rsidR="008C1DA4" w:rsidRDefault="008C1DA4" w:rsidP="008C1DA4">
      <w:pPr>
        <w:jc w:val="center"/>
        <w:rPr>
          <w:sz w:val="28"/>
          <w:szCs w:val="28"/>
        </w:rPr>
      </w:pPr>
    </w:p>
    <w:p w:rsidR="008C1DA4" w:rsidRPr="008C1DA4" w:rsidRDefault="008C1DA4" w:rsidP="008C1DA4">
      <w:pPr>
        <w:jc w:val="center"/>
        <w:rPr>
          <w:sz w:val="28"/>
          <w:szCs w:val="28"/>
        </w:rPr>
      </w:pPr>
      <w:r w:rsidRPr="008C1DA4">
        <w:rPr>
          <w:sz w:val="28"/>
          <w:szCs w:val="28"/>
        </w:rPr>
        <w:t>Luisa Torchia</w:t>
      </w:r>
    </w:p>
    <w:p w:rsidR="00361946" w:rsidRDefault="00FD3F27" w:rsidP="008C1DA4">
      <w:pPr>
        <w:jc w:val="center"/>
        <w:rPr>
          <w:sz w:val="28"/>
          <w:szCs w:val="28"/>
        </w:rPr>
      </w:pPr>
      <w:r w:rsidRPr="008C1DA4">
        <w:rPr>
          <w:sz w:val="28"/>
          <w:szCs w:val="28"/>
        </w:rPr>
        <w:t>Stat</w:t>
      </w:r>
      <w:r w:rsidR="00EE77A3" w:rsidRPr="008C1DA4">
        <w:rPr>
          <w:sz w:val="28"/>
          <w:szCs w:val="28"/>
        </w:rPr>
        <w:t>i</w:t>
      </w:r>
      <w:r w:rsidRPr="008C1DA4">
        <w:rPr>
          <w:sz w:val="28"/>
          <w:szCs w:val="28"/>
        </w:rPr>
        <w:t xml:space="preserve"> e mercat</w:t>
      </w:r>
      <w:r w:rsidR="00EE77A3" w:rsidRPr="008C1DA4">
        <w:rPr>
          <w:sz w:val="28"/>
          <w:szCs w:val="28"/>
        </w:rPr>
        <w:t>i</w:t>
      </w:r>
      <w:r w:rsidRPr="008C1DA4">
        <w:rPr>
          <w:sz w:val="28"/>
          <w:szCs w:val="28"/>
        </w:rPr>
        <w:t xml:space="preserve"> alle soglie del terzo millennio</w:t>
      </w:r>
    </w:p>
    <w:p w:rsidR="008C1DA4" w:rsidRDefault="008C1DA4" w:rsidP="008C1DA4">
      <w:pPr>
        <w:jc w:val="center"/>
        <w:rPr>
          <w:sz w:val="28"/>
          <w:szCs w:val="28"/>
        </w:rPr>
      </w:pPr>
    </w:p>
    <w:p w:rsidR="008C1DA4" w:rsidRDefault="008C1DA4" w:rsidP="008C1DA4">
      <w:pPr>
        <w:jc w:val="center"/>
        <w:rPr>
          <w:sz w:val="28"/>
          <w:szCs w:val="28"/>
        </w:rPr>
      </w:pPr>
    </w:p>
    <w:p w:rsidR="008C1DA4" w:rsidRDefault="008C1DA4" w:rsidP="008C1DA4">
      <w:pPr>
        <w:rPr>
          <w:sz w:val="28"/>
          <w:szCs w:val="28"/>
        </w:rPr>
      </w:pPr>
      <w:r>
        <w:rPr>
          <w:sz w:val="28"/>
          <w:szCs w:val="28"/>
        </w:rPr>
        <w:t>Sommario</w:t>
      </w:r>
    </w:p>
    <w:p w:rsidR="008C1DA4" w:rsidRDefault="008C1DA4" w:rsidP="008C1DA4">
      <w:pPr>
        <w:rPr>
          <w:sz w:val="28"/>
          <w:szCs w:val="28"/>
        </w:rPr>
      </w:pPr>
      <w:r w:rsidRPr="008C1DA4">
        <w:rPr>
          <w:sz w:val="28"/>
          <w:szCs w:val="28"/>
        </w:rPr>
        <w:t>1. Una verità di fondo</w:t>
      </w:r>
    </w:p>
    <w:p w:rsidR="008C1DA4" w:rsidRPr="008C1DA4" w:rsidRDefault="008C1DA4" w:rsidP="008C1DA4">
      <w:pPr>
        <w:rPr>
          <w:sz w:val="28"/>
          <w:szCs w:val="28"/>
        </w:rPr>
      </w:pPr>
      <w:r w:rsidRPr="008C1DA4">
        <w:rPr>
          <w:sz w:val="28"/>
          <w:szCs w:val="28"/>
        </w:rPr>
        <w:t>2. Diritto ed economia alla prova del metodo</w:t>
      </w:r>
    </w:p>
    <w:p w:rsidR="00FD3F27" w:rsidRDefault="008C1DA4">
      <w:pPr>
        <w:rPr>
          <w:sz w:val="28"/>
          <w:szCs w:val="28"/>
        </w:rPr>
      </w:pPr>
      <w:r w:rsidRPr="008C1DA4">
        <w:rPr>
          <w:sz w:val="28"/>
          <w:szCs w:val="28"/>
        </w:rPr>
        <w:t>3. La crisi globale: fallimenti dello Stato e fallimenti del mercato</w:t>
      </w:r>
    </w:p>
    <w:p w:rsidR="008C1DA4" w:rsidRDefault="001A1882">
      <w:pPr>
        <w:rPr>
          <w:sz w:val="28"/>
          <w:szCs w:val="28"/>
        </w:rPr>
      </w:pPr>
      <w:r>
        <w:rPr>
          <w:sz w:val="28"/>
          <w:szCs w:val="28"/>
        </w:rPr>
        <w:t>4</w:t>
      </w:r>
      <w:r w:rsidR="008C1DA4">
        <w:rPr>
          <w:sz w:val="28"/>
          <w:szCs w:val="28"/>
        </w:rPr>
        <w:t>.</w:t>
      </w:r>
      <w:r>
        <w:rPr>
          <w:sz w:val="28"/>
          <w:szCs w:val="28"/>
        </w:rPr>
        <w:t xml:space="preserve"> Il debito sovrano e l’equilibrio nei Trattati europei</w:t>
      </w:r>
    </w:p>
    <w:p w:rsidR="001A1882" w:rsidRDefault="001A1882">
      <w:pPr>
        <w:rPr>
          <w:sz w:val="28"/>
          <w:szCs w:val="28"/>
        </w:rPr>
      </w:pPr>
      <w:r>
        <w:rPr>
          <w:sz w:val="28"/>
          <w:szCs w:val="28"/>
        </w:rPr>
        <w:t xml:space="preserve">5. </w:t>
      </w:r>
      <w:r w:rsidR="001F1A33">
        <w:rPr>
          <w:sz w:val="28"/>
          <w:szCs w:val="28"/>
        </w:rPr>
        <w:t xml:space="preserve"> Conclusioni</w:t>
      </w:r>
    </w:p>
    <w:p w:rsidR="00415FAA" w:rsidRDefault="00415FAA">
      <w:pPr>
        <w:rPr>
          <w:sz w:val="28"/>
          <w:szCs w:val="28"/>
        </w:rPr>
      </w:pPr>
    </w:p>
    <w:p w:rsidR="00415FAA" w:rsidRDefault="00415FAA">
      <w:pPr>
        <w:rPr>
          <w:sz w:val="28"/>
          <w:szCs w:val="28"/>
        </w:rPr>
      </w:pPr>
    </w:p>
    <w:p w:rsidR="00415FAA" w:rsidRDefault="00415FAA">
      <w:pPr>
        <w:rPr>
          <w:sz w:val="28"/>
          <w:szCs w:val="28"/>
        </w:rPr>
      </w:pPr>
      <w:bookmarkStart w:id="0" w:name="_GoBack"/>
      <w:bookmarkEnd w:id="0"/>
    </w:p>
    <w:p w:rsidR="00415FAA" w:rsidRDefault="00415FAA">
      <w:pPr>
        <w:rPr>
          <w:sz w:val="28"/>
          <w:szCs w:val="28"/>
        </w:rPr>
      </w:pPr>
    </w:p>
    <w:p w:rsidR="00415FAA" w:rsidRDefault="00415FAA">
      <w:pPr>
        <w:rPr>
          <w:sz w:val="28"/>
          <w:szCs w:val="28"/>
        </w:rPr>
      </w:pPr>
    </w:p>
    <w:p w:rsidR="00415FAA" w:rsidRPr="008C1DA4" w:rsidRDefault="00415FAA">
      <w:pPr>
        <w:rPr>
          <w:sz w:val="28"/>
          <w:szCs w:val="28"/>
        </w:rPr>
      </w:pPr>
      <w:r>
        <w:rPr>
          <w:sz w:val="28"/>
          <w:szCs w:val="28"/>
        </w:rPr>
        <w:t>Testo rivisto della relazione svolta durante le Giornate di studi in onore di Guido Corso</w:t>
      </w:r>
      <w:r w:rsidR="00F444CE">
        <w:rPr>
          <w:sz w:val="28"/>
          <w:szCs w:val="28"/>
        </w:rPr>
        <w:t xml:space="preserve"> su</w:t>
      </w:r>
      <w:r>
        <w:rPr>
          <w:sz w:val="28"/>
          <w:szCs w:val="28"/>
        </w:rPr>
        <w:t xml:space="preserve"> “</w:t>
      </w:r>
      <w:r w:rsidRPr="00F444CE">
        <w:rPr>
          <w:i/>
          <w:sz w:val="28"/>
          <w:szCs w:val="28"/>
        </w:rPr>
        <w:t>Il cittadino e la pubblica amministrazione</w:t>
      </w:r>
      <w:r>
        <w:rPr>
          <w:sz w:val="28"/>
          <w:szCs w:val="28"/>
        </w:rPr>
        <w:t>”, Palermo 12-13 dicembre 2014</w:t>
      </w:r>
    </w:p>
    <w:p w:rsidR="003D24FA" w:rsidRDefault="003D24FA">
      <w:r>
        <w:br w:type="page"/>
      </w:r>
    </w:p>
    <w:p w:rsidR="008C1DA4" w:rsidRDefault="008C1DA4"/>
    <w:p w:rsidR="000E1463" w:rsidRPr="003D24FA" w:rsidRDefault="000E1463">
      <w:pPr>
        <w:rPr>
          <w:i/>
        </w:rPr>
      </w:pPr>
      <w:r w:rsidRPr="003D24FA">
        <w:rPr>
          <w:i/>
        </w:rPr>
        <w:t>1. Una verità di fondo</w:t>
      </w:r>
    </w:p>
    <w:p w:rsidR="000E1463" w:rsidRDefault="000E1463">
      <w:r>
        <w:t>La contrapposizione fra Stato e mercato, come due universi di credenza, è ricorrente nel</w:t>
      </w:r>
      <w:r w:rsidR="0028581A">
        <w:t xml:space="preserve"> diritto come nell’economia</w:t>
      </w:r>
      <w:r>
        <w:t xml:space="preserve">, pur essendo stato ormai dimostrato da tempo che essa non solo manca del fondamento assoluto che le vorrebbe attribuire l’ideologia, ma è anche una chiave di lettura rudimentale della complessità di relazioni che si instaurano fra istituzioni </w:t>
      </w:r>
      <w:r w:rsidR="004D7D3D">
        <w:t>e mercato</w:t>
      </w:r>
      <w:r>
        <w:t xml:space="preserve">, fra politica </w:t>
      </w:r>
      <w:r w:rsidR="004D7D3D">
        <w:t>ed economia, fra regole e libertà.</w:t>
      </w:r>
      <w:r w:rsidR="00DF0877">
        <w:t xml:space="preserve"> </w:t>
      </w:r>
    </w:p>
    <w:p w:rsidR="00DF0877" w:rsidRDefault="002C0DAE">
      <w:r>
        <w:t xml:space="preserve">Al ricorrente disvelamento dei  limiti della contrapposizione corrisponde, però, una altrettanto ricorrente sua riemersione. Il fenomeno trova una spiegazione se si guarda alla valenza di quella contrapposizione non più sul piano analitico o ricostruttivo, quanto sul piano </w:t>
      </w:r>
      <w:r w:rsidR="00DF0877">
        <w:t>prescritt</w:t>
      </w:r>
      <w:r w:rsidR="00EE77A3">
        <w:t>iv</w:t>
      </w:r>
      <w:r w:rsidR="00DF0877">
        <w:t>o</w:t>
      </w:r>
      <w:r>
        <w:t>.</w:t>
      </w:r>
      <w:r w:rsidR="00DF0877">
        <w:t xml:space="preserve"> </w:t>
      </w:r>
    </w:p>
    <w:p w:rsidR="00FD3F27" w:rsidRDefault="000E1463">
      <w:r>
        <w:t>Il punto è stato colto con la consueta finezza da Guido Corso, in un su</w:t>
      </w:r>
      <w:r w:rsidR="00FD3F27">
        <w:t>o sc</w:t>
      </w:r>
      <w:r>
        <w:t xml:space="preserve">ritto in materia di concorrenza, ove si legge che </w:t>
      </w:r>
      <w:r w:rsidR="00FD3F27">
        <w:t>“</w:t>
      </w:r>
      <w:r w:rsidR="00FD3F27" w:rsidRPr="00FD3F27">
        <w:rPr>
          <w:i/>
        </w:rPr>
        <w:t>sebbene l’alternativa Stato-mercato venga spesso negata (e anche a ragione, nella misura in cui anche il mercato è costituito da un sistema di regole, alcune delle quali di provenienza statuale o comunque recepite dallo Stato), essa esprime una verità di fondo</w:t>
      </w:r>
      <w:r w:rsidR="00FD3F27">
        <w:t>”</w:t>
      </w:r>
      <w:r w:rsidR="005F2ABC">
        <w:rPr>
          <w:rStyle w:val="Rimandonotaapidipagina"/>
        </w:rPr>
        <w:footnoteReference w:id="1"/>
      </w:r>
      <w:r w:rsidR="005F2ABC">
        <w:t>.</w:t>
      </w:r>
    </w:p>
    <w:p w:rsidR="00FD3F27" w:rsidRDefault="00DF0877">
      <w:r>
        <w:t xml:space="preserve">Secondo questa impostazione, il </w:t>
      </w:r>
      <w:r w:rsidR="00FD3F27">
        <w:t xml:space="preserve">mercato e </w:t>
      </w:r>
      <w:r>
        <w:t xml:space="preserve">lo </w:t>
      </w:r>
      <w:r w:rsidR="00FD3F27">
        <w:t xml:space="preserve">Stato sono due </w:t>
      </w:r>
      <w:r>
        <w:t>strumenti diversi</w:t>
      </w:r>
      <w:r w:rsidR="00FD3F27">
        <w:t xml:space="preserve"> per soddisfare lo stesso genere di bisogni</w:t>
      </w:r>
      <w:r>
        <w:t>. Proprio perché sono diversi, ma possono essere finalizzati ai medesimi risultati, quando il bisogno può essere soddisfatto dal mercato, lo Stato deve astenersi e può (o deve) intervenire solo in presenza di un fallimento di mercato.</w:t>
      </w:r>
    </w:p>
    <w:p w:rsidR="00DF0877" w:rsidRDefault="00DF0877" w:rsidP="00DF0877">
      <w:r>
        <w:t xml:space="preserve">L’intervento dello Stato </w:t>
      </w:r>
      <w:r w:rsidR="002C0DAE">
        <w:t>trova</w:t>
      </w:r>
      <w:r>
        <w:t xml:space="preserve"> giustifica</w:t>
      </w:r>
      <w:r w:rsidR="002C0DAE">
        <w:t>zi</w:t>
      </w:r>
      <w:r>
        <w:t>o</w:t>
      </w:r>
      <w:r w:rsidR="002C0DAE">
        <w:t>ne</w:t>
      </w:r>
      <w:r>
        <w:t xml:space="preserve"> in presenza di un </w:t>
      </w:r>
      <w:r w:rsidR="00FD3F27">
        <w:t xml:space="preserve">monopolio naturale, </w:t>
      </w:r>
      <w:r>
        <w:t xml:space="preserve">o di </w:t>
      </w:r>
      <w:r w:rsidR="00FD3F27">
        <w:t xml:space="preserve">esternalità negative, </w:t>
      </w:r>
      <w:r>
        <w:t xml:space="preserve">o di necessità di produrre </w:t>
      </w:r>
      <w:r w:rsidR="00FD3F27">
        <w:t>beni pubblici</w:t>
      </w:r>
      <w:r>
        <w:t xml:space="preserve"> o i cosiddetti</w:t>
      </w:r>
      <w:r w:rsidR="00FD3F27">
        <w:t xml:space="preserve"> beni meritori</w:t>
      </w:r>
      <w:r w:rsidR="00EE77A3">
        <w:t xml:space="preserve"> – come, ad esempio, l’istruzione –</w:t>
      </w:r>
      <w:r>
        <w:t xml:space="preserve"> il cui consumo è ritenuto utile per la società e deve essere quindi </w:t>
      </w:r>
      <w:r w:rsidR="00FD3F27">
        <w:t xml:space="preserve"> </w:t>
      </w:r>
      <w:r>
        <w:t>promosso e garantito anche indipendentemente dalle condizioni di mercato</w:t>
      </w:r>
      <w:r w:rsidR="00EE77A3">
        <w:t>,</w:t>
      </w:r>
      <w:r>
        <w:t xml:space="preserve"> che </w:t>
      </w:r>
      <w:r w:rsidR="00EE77A3">
        <w:t>non ne assicurerebbero</w:t>
      </w:r>
      <w:r>
        <w:t xml:space="preserve"> la produzione</w:t>
      </w:r>
      <w:r w:rsidR="00EE77A3">
        <w:t xml:space="preserve"> o, comunque, la fruizione diffusa</w:t>
      </w:r>
      <w:r>
        <w:t>.</w:t>
      </w:r>
    </w:p>
    <w:p w:rsidR="00FD3F27" w:rsidRDefault="00EE77A3">
      <w:r>
        <w:lastRenderedPageBreak/>
        <w:t xml:space="preserve">La complementarietà fra Stato e mercato comporta, per altro verso, che lo Stato debba </w:t>
      </w:r>
      <w:r w:rsidR="00FD3F27">
        <w:t xml:space="preserve">intervenire per </w:t>
      </w:r>
      <w:r>
        <w:t xml:space="preserve">promuovere </w:t>
      </w:r>
      <w:r w:rsidR="00FD3F27">
        <w:t xml:space="preserve">l’apertura dei mercati, </w:t>
      </w:r>
      <w:r>
        <w:t xml:space="preserve">per </w:t>
      </w:r>
      <w:r w:rsidR="00FD3F27">
        <w:t>elimina</w:t>
      </w:r>
      <w:r>
        <w:t>re</w:t>
      </w:r>
      <w:r w:rsidR="00FD3F27">
        <w:t xml:space="preserve"> le barriere alla concorrenza</w:t>
      </w:r>
      <w:r>
        <w:t xml:space="preserve"> e per facilitare la libera circolazione dei fattori di produzione. Si instaura, così, una relazione diretta </w:t>
      </w:r>
      <w:r w:rsidRPr="00FD3F27">
        <w:t>fra Stato e mercato</w:t>
      </w:r>
      <w:r>
        <w:t xml:space="preserve">, </w:t>
      </w:r>
      <w:r w:rsidRPr="00FD3F27">
        <w:t>perchè lo Stato serve a legi</w:t>
      </w:r>
      <w:r>
        <w:t>t</w:t>
      </w:r>
      <w:r w:rsidRPr="00FD3F27">
        <w:t>t</w:t>
      </w:r>
      <w:r>
        <w:t>i</w:t>
      </w:r>
      <w:r w:rsidRPr="00FD3F27">
        <w:t>mare i</w:t>
      </w:r>
      <w:r>
        <w:t xml:space="preserve"> </w:t>
      </w:r>
      <w:r w:rsidRPr="00FD3F27">
        <w:t>mercati</w:t>
      </w:r>
      <w:r>
        <w:t xml:space="preserve">, proteggendo gli individui dalle </w:t>
      </w:r>
      <w:r w:rsidRPr="00EE77A3">
        <w:t>incertezze e dai rischi</w:t>
      </w:r>
      <w:r>
        <w:t xml:space="preserve"> prodotti dal mercato</w:t>
      </w:r>
      <w:r>
        <w:rPr>
          <w:rStyle w:val="Rimandonotaapidipagina"/>
        </w:rPr>
        <w:footnoteReference w:id="2"/>
      </w:r>
      <w:r>
        <w:t>.</w:t>
      </w:r>
    </w:p>
    <w:p w:rsidR="00432121" w:rsidRDefault="00EE77A3" w:rsidP="00FD3F27">
      <w:r>
        <w:t xml:space="preserve">La globalizzazione ha reso questa </w:t>
      </w:r>
      <w:r w:rsidR="005F5362">
        <w:t xml:space="preserve">protezione </w:t>
      </w:r>
      <w:r>
        <w:t>particolarmente necessaria e, allo stesso tempo, assai più difficile. Come ci ha spiegato sempre Guido Corso già nel 2002</w:t>
      </w:r>
      <w:r>
        <w:rPr>
          <w:rStyle w:val="Rimandonotaapidipagina"/>
        </w:rPr>
        <w:footnoteReference w:id="3"/>
      </w:r>
      <w:r>
        <w:t xml:space="preserve">, </w:t>
      </w:r>
      <w:r w:rsidR="00432121">
        <w:t xml:space="preserve">la globalizzazione ha camminato su regole di </w:t>
      </w:r>
      <w:r w:rsidR="001B6C58">
        <w:t>diritto aventi ad oggetto la lib</w:t>
      </w:r>
      <w:r w:rsidR="00432121">
        <w:t>era circolazione delle merci, delle persone, dei capitali e dei servizi</w:t>
      </w:r>
      <w:r>
        <w:t xml:space="preserve">, di modo che le barriere nazionali sono diventate sempre più </w:t>
      </w:r>
      <w:r w:rsidR="00B93D03">
        <w:t>porose. A circolare non sono solo merci, persone, capitale e servizi, ma anche le loro discipline negli ordinamenti di origine</w:t>
      </w:r>
      <w:r w:rsidR="00830733">
        <w:t>, in assenza di una regolazione uniforme mondiale</w:t>
      </w:r>
      <w:r w:rsidR="002C0DAE">
        <w:t>.</w:t>
      </w:r>
      <w:r w:rsidR="00830733">
        <w:t xml:space="preserve"> </w:t>
      </w:r>
      <w:r w:rsidR="002C0DAE">
        <w:t>O</w:t>
      </w:r>
      <w:r w:rsidR="00830733">
        <w:t>gni ordinamento si apre, così, sia in verticale a regole sovranazionali, sia in orizzontale, ad altre regole nazionali</w:t>
      </w:r>
      <w:r w:rsidR="00830733">
        <w:rPr>
          <w:rStyle w:val="Rimandonotaapidipagina"/>
        </w:rPr>
        <w:footnoteReference w:id="4"/>
      </w:r>
      <w:r w:rsidR="00830733">
        <w:t>.</w:t>
      </w:r>
    </w:p>
    <w:p w:rsidR="00432121" w:rsidRDefault="00830733" w:rsidP="00FD3F27">
      <w:r>
        <w:t xml:space="preserve">Quando le dimensioni del mercato e le dimensioni dello Stato non sono   simmetriche, perché ad un mercato globale non corrisponde uno Stato globale, diventa più difficile individuare le linee lungo le quali la complementarietà fra potere pubblico e autonomia privata, fra interessi pubblici e poteri privati, si </w:t>
      </w:r>
      <w:r>
        <w:lastRenderedPageBreak/>
        <w:t>svolge e si sviluppa</w:t>
      </w:r>
      <w:r w:rsidR="00CD59AF">
        <w:rPr>
          <w:rStyle w:val="Rimandonotaapidipagina"/>
        </w:rPr>
        <w:footnoteReference w:id="5"/>
      </w:r>
      <w:r>
        <w:t>.</w:t>
      </w:r>
      <w:r w:rsidR="002C0DAE">
        <w:t xml:space="preserve"> Gli Stati provano a difendersi dal mercato globale, introducendo nuovi tipi di barriere giuridiche ed amministrative e i mercati, a lo</w:t>
      </w:r>
      <w:r w:rsidR="003C02A6">
        <w:t xml:space="preserve">ro volta, cercano di superare o cancellare quelle barriere, mediante </w:t>
      </w:r>
      <w:r w:rsidR="004122DA">
        <w:t xml:space="preserve">negoziazione e </w:t>
      </w:r>
      <w:r w:rsidR="003C02A6">
        <w:t>trattati internazionali</w:t>
      </w:r>
      <w:r w:rsidR="004122DA">
        <w:t xml:space="preserve"> (si pensi all’attuale round di negoziazione del TTIP)</w:t>
      </w:r>
      <w:r w:rsidR="003C02A6">
        <w:t xml:space="preserve">  o anche sottoponendo proprio gli Stati a giudizi </w:t>
      </w:r>
      <w:r w:rsidR="004122DA">
        <w:t xml:space="preserve">– ad esempio tramite le agenzie di rating - </w:t>
      </w:r>
      <w:r w:rsidR="003C02A6">
        <w:t xml:space="preserve">che </w:t>
      </w:r>
      <w:r w:rsidR="004122DA">
        <w:t>incidono sulla loro capacità di indebitarsi, sostenere il proprio debito e adottare politiche economiche espansive.</w:t>
      </w:r>
    </w:p>
    <w:p w:rsidR="004122DA" w:rsidRDefault="004122DA" w:rsidP="00FD3F27">
      <w:r>
        <w:t xml:space="preserve">Queste interazioni sono tanto più difficili da investigare ed interpretare oggi a causa della crisi globale, che produce effetti, appunto, globali, in assenza di meccanismi di reazione o stabilizzazione altrettanto globali. E’ rilevante, però, che la soluzione ai problemi provocati dalla crisi globale non </w:t>
      </w:r>
      <w:r w:rsidR="0026011B">
        <w:t>sia</w:t>
      </w:r>
      <w:r>
        <w:t xml:space="preserve"> stata ricercata, in nessun paese o foro internazionale, in una maggior ricorso a meccanismi di mercato, ma aspettative e richieste si sono piuttosto volte verso gli Stati e le istituzioni internazionali</w:t>
      </w:r>
      <w:r w:rsidR="00C014E6">
        <w:t xml:space="preserve">, </w:t>
      </w:r>
      <w:r w:rsidR="0028581A">
        <w:t xml:space="preserve">contribuendo così a </w:t>
      </w:r>
      <w:r w:rsidR="00C014E6">
        <w:t>produ</w:t>
      </w:r>
      <w:r w:rsidR="0028581A">
        <w:t>rr</w:t>
      </w:r>
      <w:r w:rsidR="00C014E6">
        <w:t>e un insieme di nuove istituzioni e di nuove regole ancora oggi in fase di formazione e di consolidamento.</w:t>
      </w:r>
    </w:p>
    <w:p w:rsidR="00AE0ED2" w:rsidRDefault="00AE0ED2" w:rsidP="00FD3F27">
      <w:r>
        <w:t>Per analizzare questi sviluppi occorre verificare</w:t>
      </w:r>
      <w:r w:rsidR="00415FAA">
        <w:t xml:space="preserve"> preliminarmente</w:t>
      </w:r>
      <w:r>
        <w:t xml:space="preserve"> la tenuta degli strumenti sinora utilizzati per definire le relazioni fra Stato e mercato ed è necessario partire,</w:t>
      </w:r>
      <w:r w:rsidR="0028581A">
        <w:t xml:space="preserve"> quindi, da considerazioni di m</w:t>
      </w:r>
      <w:r>
        <w:t>etodo.</w:t>
      </w:r>
    </w:p>
    <w:p w:rsidR="00A925E9" w:rsidRDefault="00A925E9" w:rsidP="00FD3F27"/>
    <w:p w:rsidR="00A925E9" w:rsidRPr="003D24FA" w:rsidRDefault="00A925E9" w:rsidP="00FD3F27">
      <w:pPr>
        <w:rPr>
          <w:i/>
        </w:rPr>
      </w:pPr>
      <w:r w:rsidRPr="003D24FA">
        <w:rPr>
          <w:i/>
        </w:rPr>
        <w:t xml:space="preserve">2. </w:t>
      </w:r>
      <w:r w:rsidR="004122DA" w:rsidRPr="003D24FA">
        <w:rPr>
          <w:i/>
        </w:rPr>
        <w:t>D</w:t>
      </w:r>
      <w:r w:rsidRPr="003D24FA">
        <w:rPr>
          <w:i/>
        </w:rPr>
        <w:t>iritto ed economia alla prova del metodo</w:t>
      </w:r>
    </w:p>
    <w:p w:rsidR="00393863" w:rsidRDefault="00830733" w:rsidP="00F541FE">
      <w:pPr>
        <w:rPr>
          <w:b/>
        </w:rPr>
      </w:pPr>
      <w:r>
        <w:t xml:space="preserve">Mancano, in effetti, oggi, sia </w:t>
      </w:r>
      <w:r w:rsidR="00393863">
        <w:t>una teoria interpretativa del fenomeno</w:t>
      </w:r>
      <w:r>
        <w:t xml:space="preserve">, sia </w:t>
      </w:r>
      <w:r w:rsidR="00393863">
        <w:t>una chiara indicazione progettuale</w:t>
      </w:r>
      <w:r>
        <w:t xml:space="preserve"> sul piano politico, a differenza di quanto avvenne dopo la grande crisi del 1929. Quella crisi fornì allo stesso tempo la base e la prova per la te</w:t>
      </w:r>
      <w:r w:rsidR="00827E2E">
        <w:t>si</w:t>
      </w:r>
      <w:r>
        <w:t xml:space="preserve"> keynesiana</w:t>
      </w:r>
      <w:r w:rsidR="00F541FE">
        <w:t xml:space="preserve"> secondo </w:t>
      </w:r>
      <w:r w:rsidR="00750A94">
        <w:t>i</w:t>
      </w:r>
      <w:r w:rsidR="00F541FE">
        <w:t>l</w:t>
      </w:r>
      <w:r w:rsidR="00750A94">
        <w:t xml:space="preserve"> sostegno alla domanda tramite la spesa pubblica </w:t>
      </w:r>
      <w:r w:rsidR="00827E2E">
        <w:t xml:space="preserve">è uno strumento anticiclico essenziale ed è quindi prima di tutto responsabilità dello Stato assicurare gli strumenti e i mezzi per superare le crisi </w:t>
      </w:r>
      <w:r w:rsidR="00827E2E">
        <w:lastRenderedPageBreak/>
        <w:t>economiche</w:t>
      </w:r>
      <w:r w:rsidR="00F541FE">
        <w:rPr>
          <w:rStyle w:val="Rimandonotaapidipagina"/>
        </w:rPr>
        <w:footnoteReference w:id="6"/>
      </w:r>
      <w:r w:rsidR="00F541FE">
        <w:t>. L’infrastruttura giuridica ed istit</w:t>
      </w:r>
      <w:r w:rsidR="00827E2E">
        <w:t xml:space="preserve">uzionale creata con il New Deal </w:t>
      </w:r>
      <w:r w:rsidR="00F541FE">
        <w:t xml:space="preserve">ha </w:t>
      </w:r>
      <w:r w:rsidR="00827E2E">
        <w:t xml:space="preserve">proiettato i suoi effetti per alcuni decenni, contribuendo ad evitare </w:t>
      </w:r>
      <w:r w:rsidR="00F541FE">
        <w:t>per lungo tempo il ripetersi di una recessione così rovinosa,</w:t>
      </w:r>
      <w:r w:rsidR="00827E2E">
        <w:t xml:space="preserve"> </w:t>
      </w:r>
      <w:r w:rsidR="00393863">
        <w:t xml:space="preserve">anche se non dobbiamo dimenticare che dalla crisi si uscì davvero dopo la </w:t>
      </w:r>
      <w:r w:rsidR="00393863" w:rsidRPr="00827E2E">
        <w:t>seconda guerra mondiale</w:t>
      </w:r>
      <w:r w:rsidR="00F541FE">
        <w:rPr>
          <w:b/>
        </w:rPr>
        <w:t>.</w:t>
      </w:r>
    </w:p>
    <w:p w:rsidR="00FD3F27" w:rsidRDefault="00827E2E" w:rsidP="00F541FE">
      <w:r>
        <w:t xml:space="preserve">Uno fra gli elementi di maggiore novità rispetto al passato sembra essere, però, la relazione assai più complessa che in passato fra Stati e mercati. </w:t>
      </w:r>
      <w:r w:rsidR="00F541FE">
        <w:t>O</w:t>
      </w:r>
      <w:r w:rsidR="00393863">
        <w:t xml:space="preserve">ggi non </w:t>
      </w:r>
      <w:r>
        <w:t xml:space="preserve">è sufficiente </w:t>
      </w:r>
      <w:r w:rsidR="00393863">
        <w:t xml:space="preserve">prevedere </w:t>
      </w:r>
      <w:r>
        <w:t xml:space="preserve">e realizzare </w:t>
      </w:r>
      <w:r w:rsidR="00393863">
        <w:t xml:space="preserve">interventi dello Stato a fronte dei fallimenti del mercato, perché anche i </w:t>
      </w:r>
      <w:r w:rsidR="00393863" w:rsidRPr="00827E2E">
        <w:t xml:space="preserve">mercati “giudicano” </w:t>
      </w:r>
      <w:r w:rsidR="00943552">
        <w:t>gli Stati. Lo Stato</w:t>
      </w:r>
      <w:r w:rsidR="00F541FE">
        <w:rPr>
          <w:b/>
        </w:rPr>
        <w:t xml:space="preserve"> </w:t>
      </w:r>
      <w:r w:rsidR="00943552">
        <w:rPr>
          <w:b/>
        </w:rPr>
        <w:t>“</w:t>
      </w:r>
      <w:r w:rsidR="00FD3F27">
        <w:t>salvatore</w:t>
      </w:r>
      <w:r w:rsidR="00943552">
        <w:t>”</w:t>
      </w:r>
      <w:r w:rsidR="00943552">
        <w:rPr>
          <w:rStyle w:val="Rimandonotaapidipagina"/>
        </w:rPr>
        <w:footnoteReference w:id="7"/>
      </w:r>
      <w:r w:rsidR="00F541FE">
        <w:t xml:space="preserve">, almeno in Europa, ha corso il rischio di essere travolto </w:t>
      </w:r>
      <w:r w:rsidR="00FD3F27">
        <w:t>dai salvataggi, a causa de</w:t>
      </w:r>
      <w:r w:rsidR="00943552">
        <w:t>i debiti contratti per le politiche di salvataggio. I</w:t>
      </w:r>
      <w:r w:rsidR="00FD3F27">
        <w:t>l debito sovrano</w:t>
      </w:r>
      <w:r w:rsidR="00F541FE">
        <w:t xml:space="preserve"> non è più così sovrano</w:t>
      </w:r>
      <w:r w:rsidR="00943552">
        <w:t xml:space="preserve"> o, meglio, non basta la qualità della sovranità a garantirlo, se mancano altre condizioni economiche, finanziarie e politiche</w:t>
      </w:r>
      <w:r w:rsidR="00F541FE">
        <w:t>.</w:t>
      </w:r>
      <w:r w:rsidR="00750A94">
        <w:t xml:space="preserve"> La sovranità non è più un attributo di ogni Stato, sia perché ci sono Stati troppo deboli</w:t>
      </w:r>
      <w:r w:rsidR="00767E4E">
        <w:t xml:space="preserve"> per un esercizio effettivo di poteri sovrani</w:t>
      </w:r>
      <w:r w:rsidR="00750A94">
        <w:t>, sia perché ci sono Stati, come quelli europei, che la condividono in architetture più o meno cooperative</w:t>
      </w:r>
      <w:r w:rsidR="00210382">
        <w:rPr>
          <w:rStyle w:val="Rimandonotaapidipagina"/>
        </w:rPr>
        <w:footnoteReference w:id="8"/>
      </w:r>
      <w:r w:rsidR="00750A94">
        <w:t>.</w:t>
      </w:r>
      <w:r w:rsidR="001D2A41">
        <w:t xml:space="preserve"> L</w:t>
      </w:r>
      <w:r w:rsidR="00750A94">
        <w:t>a sovranità non garantisce, inoltre, di per sé la credibilità degli impegni assunti: e la credibilità è l’elemento essenziale per la sostenibilità del debito.</w:t>
      </w:r>
    </w:p>
    <w:p w:rsidR="00F52B75" w:rsidRDefault="00F541FE" w:rsidP="00FD3F27">
      <w:r>
        <w:lastRenderedPageBreak/>
        <w:t xml:space="preserve">La crisi globale ancora </w:t>
      </w:r>
      <w:r w:rsidR="000F7C6D">
        <w:t xml:space="preserve">in corso </w:t>
      </w:r>
      <w:r>
        <w:t xml:space="preserve">dopo otto anni, e che solo ora dà flebili segni di </w:t>
      </w:r>
      <w:r w:rsidR="000F7C6D">
        <w:t>arretramento</w:t>
      </w:r>
      <w:r>
        <w:t xml:space="preserve">, ci consente allora di esaminare </w:t>
      </w:r>
      <w:r w:rsidRPr="000F7C6D">
        <w:rPr>
          <w:i/>
        </w:rPr>
        <w:t xml:space="preserve">in </w:t>
      </w:r>
      <w:proofErr w:type="spellStart"/>
      <w:r w:rsidRPr="000F7C6D">
        <w:rPr>
          <w:i/>
        </w:rPr>
        <w:t>corpore</w:t>
      </w:r>
      <w:proofErr w:type="spellEnd"/>
      <w:r w:rsidRPr="000F7C6D">
        <w:rPr>
          <w:i/>
        </w:rPr>
        <w:t xml:space="preserve"> vili</w:t>
      </w:r>
      <w:r>
        <w:t xml:space="preserve"> le interazion</w:t>
      </w:r>
      <w:r w:rsidR="00767E4E">
        <w:t>i</w:t>
      </w:r>
      <w:r>
        <w:t xml:space="preserve"> fra Stato e mercato o, più correttamente, fra Stati e mercati</w:t>
      </w:r>
      <w:r w:rsidR="00415FAA">
        <w:t>.</w:t>
      </w:r>
    </w:p>
    <w:p w:rsidR="000F7C6D" w:rsidRDefault="000F7C6D">
      <w:r>
        <w:t>E’</w:t>
      </w:r>
      <w:r w:rsidR="00F541FE">
        <w:t xml:space="preserve"> anche l’occasione per misurare la capacità esplicativa delle due scienze collegate a Stato e mercato, rispettivamente </w:t>
      </w:r>
      <w:r w:rsidR="00767E4E">
        <w:t xml:space="preserve">il diritto e </w:t>
      </w:r>
      <w:r w:rsidR="00F541FE">
        <w:t>l</w:t>
      </w:r>
      <w:r>
        <w:t>’</w:t>
      </w:r>
      <w:r w:rsidR="00F541FE">
        <w:t>economia e</w:t>
      </w:r>
      <w:r w:rsidR="00767E4E">
        <w:t xml:space="preserve"> per esaminare </w:t>
      </w:r>
      <w:r>
        <w:t>i problemi di metodo che hanno reso così difficile prima vedere la crisi e poi determinare i rimedi per uscirne (anche se l’intervento degli Stati, pur tardivo e forse insufficiente per dimensioni, ha evitato che la crisi si trasformasse da recessione in una seconda grande depressione</w:t>
      </w:r>
      <w:r>
        <w:rPr>
          <w:rStyle w:val="Rimandonotaapidipagina"/>
        </w:rPr>
        <w:footnoteReference w:id="9"/>
      </w:r>
      <w:r>
        <w:t>).</w:t>
      </w:r>
    </w:p>
    <w:p w:rsidR="00F8275C" w:rsidRDefault="000F7C6D" w:rsidP="00F8275C">
      <w:r>
        <w:t>Sul piano del metodo, tanto nella scienza economica, come nella scienza giuridica, sembrano aver prevalso le assunzioni e le presunzioni, rispetto all’osservazione della realtà.</w:t>
      </w:r>
    </w:p>
    <w:p w:rsidR="00F541FE" w:rsidRDefault="000F7C6D" w:rsidP="00F8275C">
      <w:r>
        <w:t>L</w:t>
      </w:r>
      <w:r w:rsidR="00F541FE">
        <w:t>a scienza economica</w:t>
      </w:r>
      <w:r>
        <w:t xml:space="preserve"> </w:t>
      </w:r>
      <w:r w:rsidR="00F8275C">
        <w:t xml:space="preserve">- </w:t>
      </w:r>
      <w:r>
        <w:t>non tutta</w:t>
      </w:r>
      <w:r w:rsidR="00F8275C">
        <w:t>,</w:t>
      </w:r>
      <w:r>
        <w:t xml:space="preserve"> ma in misura prevalente e soprattutto molto influente sui governi nazionali</w:t>
      </w:r>
      <w:r w:rsidR="00F8275C">
        <w:t xml:space="preserve"> -</w:t>
      </w:r>
      <w:r>
        <w:t xml:space="preserve"> </w:t>
      </w:r>
      <w:r w:rsidR="00F541FE">
        <w:t xml:space="preserve">ha sostenuto che </w:t>
      </w:r>
      <w:r w:rsidR="00F8275C">
        <w:t>i mercati sono caratterizzati da una loro</w:t>
      </w:r>
      <w:r w:rsidR="003F7CD9" w:rsidRPr="003F7CD9">
        <w:t xml:space="preserve"> intrinseca </w:t>
      </w:r>
      <w:r w:rsidR="003F7CD9" w:rsidRPr="00F8275C">
        <w:t>razionalità</w:t>
      </w:r>
      <w:r w:rsidR="00F8275C">
        <w:t>, che ne garantisce l’efficienza e, quindi, anche la superiorità rispetto ad altri strumenti di regolazione e gestione dell’economia</w:t>
      </w:r>
      <w:r w:rsidR="00F541FE">
        <w:t xml:space="preserve">. La teoria delle </w:t>
      </w:r>
      <w:r w:rsidR="003F7CD9">
        <w:t>aspettative razionali</w:t>
      </w:r>
      <w:r w:rsidR="00F541FE">
        <w:t xml:space="preserve"> </w:t>
      </w:r>
      <w:r w:rsidR="00F8275C">
        <w:t xml:space="preserve">è basata appunto sulla tesi che </w:t>
      </w:r>
      <w:r w:rsidR="00F541FE">
        <w:t xml:space="preserve">la </w:t>
      </w:r>
      <w:r w:rsidR="003F7CD9">
        <w:t>capacità del mercato di raccogliere e valutare informazioni</w:t>
      </w:r>
      <w:r w:rsidR="00F541FE">
        <w:t xml:space="preserve"> lo rend</w:t>
      </w:r>
      <w:r w:rsidR="00F8275C">
        <w:t>a</w:t>
      </w:r>
      <w:r w:rsidR="00F541FE">
        <w:t xml:space="preserve"> i</w:t>
      </w:r>
      <w:r w:rsidR="000B2005">
        <w:t>l più efficiente strumento di regolazione</w:t>
      </w:r>
      <w:r w:rsidR="00F541FE">
        <w:t>.</w:t>
      </w:r>
    </w:p>
    <w:p w:rsidR="000B2005" w:rsidRPr="00F8275C" w:rsidRDefault="00F541FE" w:rsidP="00F541FE">
      <w:r>
        <w:t>L</w:t>
      </w:r>
      <w:r w:rsidR="000B2005">
        <w:t>a teoria dei mercati efficienti ha due vantaggi</w:t>
      </w:r>
      <w:r>
        <w:t xml:space="preserve">. Essa </w:t>
      </w:r>
      <w:r w:rsidR="000B2005">
        <w:t xml:space="preserve">consente </w:t>
      </w:r>
      <w:r w:rsidR="00F8275C">
        <w:t xml:space="preserve">innanzitutto </w:t>
      </w:r>
      <w:r w:rsidR="000B2005">
        <w:t xml:space="preserve">all’economia di atteggiarsi a scienza, perché studia un oggetto – il mercato – </w:t>
      </w:r>
      <w:r w:rsidR="000B2005" w:rsidRPr="00F8275C">
        <w:t>autosufficiente</w:t>
      </w:r>
      <w:r w:rsidR="00F8275C">
        <w:t xml:space="preserve">: e l’aspirazione dell’economia ad essere non una scienza sociale, ma una scienza </w:t>
      </w:r>
      <w:r w:rsidR="00F8275C" w:rsidRPr="00F8275C">
        <w:rPr>
          <w:i/>
        </w:rPr>
        <w:t>tout court</w:t>
      </w:r>
      <w:r w:rsidR="00F8275C">
        <w:t xml:space="preserve"> è tanto radicata quanto periodicamente dimostrata infondata dai fatti. Il secondo vantaggio sta nella possibilità per</w:t>
      </w:r>
      <w:r w:rsidRPr="00F8275C">
        <w:t xml:space="preserve"> c</w:t>
      </w:r>
      <w:r w:rsidR="000B2005" w:rsidRPr="00F8275C">
        <w:t xml:space="preserve">oloro che hanno </w:t>
      </w:r>
      <w:r w:rsidR="00F8275C">
        <w:t xml:space="preserve">avuto </w:t>
      </w:r>
      <w:r w:rsidR="000B2005" w:rsidRPr="00F8275C">
        <w:t xml:space="preserve">successo sul mercato </w:t>
      </w:r>
      <w:r w:rsidR="00F8275C">
        <w:t xml:space="preserve">di </w:t>
      </w:r>
      <w:r w:rsidR="000B2005" w:rsidRPr="00F8275C">
        <w:t>affermare che il perseguimento de</w:t>
      </w:r>
      <w:r w:rsidR="00F8275C">
        <w:t xml:space="preserve">i loro interessi, quand’anche egoistici o anzi proprio perché egoistici, </w:t>
      </w:r>
      <w:r w:rsidR="000B2005" w:rsidRPr="00F8275C">
        <w:t>produce benessere collettivo</w:t>
      </w:r>
      <w:r w:rsidRPr="00F8275C">
        <w:t>.</w:t>
      </w:r>
    </w:p>
    <w:p w:rsidR="000B2005" w:rsidRDefault="00F541FE" w:rsidP="00A925E9">
      <w:r>
        <w:t>Per suo conto, la teoria giuridica</w:t>
      </w:r>
      <w:r w:rsidR="00F8275C">
        <w:t xml:space="preserve"> </w:t>
      </w:r>
      <w:r w:rsidRPr="00F8275C">
        <w:t>ha sostenuto che</w:t>
      </w:r>
      <w:r w:rsidR="000B2005" w:rsidRPr="000B2005">
        <w:t xml:space="preserve"> le regole incorporano </w:t>
      </w:r>
      <w:r w:rsidR="000B2005" w:rsidRPr="00F8275C">
        <w:t>saggezza</w:t>
      </w:r>
      <w:r w:rsidR="000B2005" w:rsidRPr="000B2005">
        <w:t xml:space="preserve"> e non interessi</w:t>
      </w:r>
      <w:r w:rsidR="00F8275C">
        <w:t xml:space="preserve">; </w:t>
      </w:r>
      <w:r>
        <w:t xml:space="preserve">che </w:t>
      </w:r>
      <w:r w:rsidR="000B2005" w:rsidRPr="000B2005">
        <w:t xml:space="preserve">l’attuazione delle regole è fenomeno </w:t>
      </w:r>
      <w:r w:rsidR="000B2005" w:rsidRPr="00F8275C">
        <w:t>meccani</w:t>
      </w:r>
      <w:r w:rsidR="001B63DD" w:rsidRPr="00F8275C">
        <w:t>co</w:t>
      </w:r>
      <w:r w:rsidR="000B2005" w:rsidRPr="00F8275C">
        <w:t xml:space="preserve"> </w:t>
      </w:r>
      <w:r w:rsidR="000B2005" w:rsidRPr="000B2005">
        <w:t xml:space="preserve">che </w:t>
      </w:r>
      <w:r w:rsidR="000B2005" w:rsidRPr="000B2005">
        <w:lastRenderedPageBreak/>
        <w:t>non incorpora preferenze o conflitti</w:t>
      </w:r>
      <w:r w:rsidR="000B2005">
        <w:t xml:space="preserve">; </w:t>
      </w:r>
      <w:r>
        <w:t xml:space="preserve">che </w:t>
      </w:r>
      <w:r w:rsidR="000B2005">
        <w:t xml:space="preserve">le istituzioni sono </w:t>
      </w:r>
      <w:r w:rsidR="000B2005" w:rsidRPr="00F8275C">
        <w:t>modelli neutri</w:t>
      </w:r>
      <w:r w:rsidR="000B2005">
        <w:t xml:space="preserve">, </w:t>
      </w:r>
      <w:r w:rsidR="00F8275C">
        <w:t xml:space="preserve">utilizzabili per fini diversi (e </w:t>
      </w:r>
      <w:r w:rsidR="000B2005">
        <w:t>quindi</w:t>
      </w:r>
      <w:r w:rsidR="00F8275C">
        <w:t>, per limitare gli esempi all’ordinamento italiano,</w:t>
      </w:r>
      <w:r w:rsidR="000B2005">
        <w:t xml:space="preserve"> si p</w:t>
      </w:r>
      <w:r w:rsidR="00F8275C">
        <w:t xml:space="preserve">ossono avere società per azioni senza fini di lucro e </w:t>
      </w:r>
      <w:r w:rsidR="000B2005" w:rsidRPr="00F8275C">
        <w:t>fondazion</w:t>
      </w:r>
      <w:r w:rsidR="00F8275C" w:rsidRPr="00F8275C">
        <w:t>i</w:t>
      </w:r>
      <w:r w:rsidR="000B2005" w:rsidRPr="00F8275C">
        <w:t xml:space="preserve"> </w:t>
      </w:r>
      <w:r w:rsidR="000B2005">
        <w:t>senza fondatore</w:t>
      </w:r>
      <w:r w:rsidR="00F8275C">
        <w:t>)</w:t>
      </w:r>
      <w:r w:rsidR="000B2005">
        <w:t xml:space="preserve">. </w:t>
      </w:r>
    </w:p>
    <w:p w:rsidR="00BE1706" w:rsidRDefault="00A925E9" w:rsidP="00A925E9">
      <w:r>
        <w:t xml:space="preserve">La crisi ha costretto ad </w:t>
      </w:r>
      <w:r w:rsidR="00FA1E0F">
        <w:t xml:space="preserve">una profonda </w:t>
      </w:r>
      <w:r w:rsidR="00FA1E0F" w:rsidRPr="00BE1706">
        <w:t>revisione</w:t>
      </w:r>
      <w:r w:rsidR="00FA1E0F">
        <w:t xml:space="preserve"> di quest</w:t>
      </w:r>
      <w:r w:rsidR="00BE1706">
        <w:t>e assunzioni, sia per la scienza economica, sia per la scienza giuridica.</w:t>
      </w:r>
    </w:p>
    <w:p w:rsidR="00A925E9" w:rsidRPr="00415FAA" w:rsidRDefault="00BE1706" w:rsidP="00A925E9">
      <w:pPr>
        <w:rPr>
          <w:lang w:val="en-US"/>
        </w:rPr>
      </w:pPr>
      <w:r>
        <w:t>Nella corposa letteratura sulla crisi economica, si trova frequentemente richiamata l</w:t>
      </w:r>
      <w:r w:rsidR="00FA1E0F">
        <w:t xml:space="preserve">a </w:t>
      </w:r>
      <w:r w:rsidR="00446783">
        <w:t>sconsolata conclusione</w:t>
      </w:r>
      <w:r w:rsidR="00FA1E0F">
        <w:t xml:space="preserve"> di </w:t>
      </w:r>
      <w:r w:rsidR="00FA1E0F" w:rsidRPr="00BE1706">
        <w:t>Newton</w:t>
      </w:r>
      <w:r w:rsidR="00FA1E0F" w:rsidRPr="002867EB">
        <w:rPr>
          <w:b/>
        </w:rPr>
        <w:t xml:space="preserve"> </w:t>
      </w:r>
      <w:r w:rsidR="00FA1E0F">
        <w:t>che, dopo aver perso 20mila sterline (</w:t>
      </w:r>
      <w:r>
        <w:t>l’</w:t>
      </w:r>
      <w:r w:rsidR="00FA1E0F">
        <w:t xml:space="preserve">equivalente di 2.5. milioni di euro attuali) nello </w:t>
      </w:r>
      <w:r w:rsidR="00FA1E0F" w:rsidRPr="00FA1E0F">
        <w:t xml:space="preserve">scandalo </w:t>
      </w:r>
      <w:r>
        <w:t>della boll</w:t>
      </w:r>
      <w:r w:rsidR="00446783">
        <w:t>a</w:t>
      </w:r>
      <w:r>
        <w:t xml:space="preserve"> del </w:t>
      </w:r>
      <w:r w:rsidR="00446783">
        <w:t>M</w:t>
      </w:r>
      <w:r>
        <w:t>are del Sud, scrisse</w:t>
      </w:r>
      <w:r w:rsidR="00FA1E0F">
        <w:t>: “</w:t>
      </w:r>
      <w:r w:rsidR="00FA1E0F" w:rsidRPr="002867EB">
        <w:rPr>
          <w:i/>
        </w:rPr>
        <w:t xml:space="preserve">I can </w:t>
      </w:r>
      <w:proofErr w:type="spellStart"/>
      <w:r w:rsidR="00FA1E0F" w:rsidRPr="002867EB">
        <w:rPr>
          <w:i/>
        </w:rPr>
        <w:t>calculate</w:t>
      </w:r>
      <w:proofErr w:type="spellEnd"/>
      <w:r w:rsidR="00FA1E0F" w:rsidRPr="002867EB">
        <w:rPr>
          <w:i/>
        </w:rPr>
        <w:t xml:space="preserve"> the </w:t>
      </w:r>
      <w:proofErr w:type="spellStart"/>
      <w:r w:rsidR="00FA1E0F" w:rsidRPr="002867EB">
        <w:rPr>
          <w:i/>
        </w:rPr>
        <w:t>motions</w:t>
      </w:r>
      <w:proofErr w:type="spellEnd"/>
      <w:r w:rsidR="00FA1E0F" w:rsidRPr="002867EB">
        <w:rPr>
          <w:i/>
        </w:rPr>
        <w:t xml:space="preserve"> of </w:t>
      </w:r>
      <w:proofErr w:type="spellStart"/>
      <w:r w:rsidR="00FA1E0F" w:rsidRPr="002867EB">
        <w:rPr>
          <w:i/>
        </w:rPr>
        <w:t>heavenly</w:t>
      </w:r>
      <w:proofErr w:type="spellEnd"/>
      <w:r w:rsidR="00FA1E0F" w:rsidRPr="002867EB">
        <w:rPr>
          <w:i/>
        </w:rPr>
        <w:t xml:space="preserve"> </w:t>
      </w:r>
      <w:proofErr w:type="spellStart"/>
      <w:r w:rsidR="00FA1E0F" w:rsidRPr="002867EB">
        <w:rPr>
          <w:i/>
        </w:rPr>
        <w:t>bodies</w:t>
      </w:r>
      <w:proofErr w:type="spellEnd"/>
      <w:r w:rsidR="00FA1E0F" w:rsidRPr="002867EB">
        <w:rPr>
          <w:i/>
        </w:rPr>
        <w:t xml:space="preserve">, </w:t>
      </w:r>
      <w:proofErr w:type="spellStart"/>
      <w:r w:rsidR="00FA1E0F" w:rsidRPr="002867EB">
        <w:rPr>
          <w:i/>
        </w:rPr>
        <w:t>but</w:t>
      </w:r>
      <w:proofErr w:type="spellEnd"/>
      <w:r w:rsidR="00FA1E0F" w:rsidRPr="002867EB">
        <w:rPr>
          <w:i/>
        </w:rPr>
        <w:t xml:space="preserve"> </w:t>
      </w:r>
      <w:proofErr w:type="spellStart"/>
      <w:r w:rsidR="00FA1E0F" w:rsidRPr="002867EB">
        <w:rPr>
          <w:i/>
        </w:rPr>
        <w:t>not</w:t>
      </w:r>
      <w:proofErr w:type="spellEnd"/>
      <w:r w:rsidR="00FA1E0F" w:rsidRPr="002867EB">
        <w:rPr>
          <w:i/>
        </w:rPr>
        <w:t xml:space="preserve"> the </w:t>
      </w:r>
      <w:proofErr w:type="spellStart"/>
      <w:r w:rsidR="00FA1E0F" w:rsidRPr="002867EB">
        <w:rPr>
          <w:i/>
        </w:rPr>
        <w:t>madness</w:t>
      </w:r>
      <w:proofErr w:type="spellEnd"/>
      <w:r w:rsidR="00FA1E0F" w:rsidRPr="002867EB">
        <w:rPr>
          <w:i/>
        </w:rPr>
        <w:t xml:space="preserve"> of </w:t>
      </w:r>
      <w:proofErr w:type="spellStart"/>
      <w:r w:rsidR="00FA1E0F" w:rsidRPr="002867EB">
        <w:rPr>
          <w:i/>
        </w:rPr>
        <w:t>people</w:t>
      </w:r>
      <w:proofErr w:type="spellEnd"/>
      <w:r w:rsidR="00FA1E0F">
        <w:t>”</w:t>
      </w:r>
      <w:r w:rsidR="00B9371A">
        <w:rPr>
          <w:rStyle w:val="Rimandonotaapidipagina"/>
        </w:rPr>
        <w:footnoteReference w:id="10"/>
      </w:r>
      <w:r w:rsidR="00A925E9">
        <w:t>.</w:t>
      </w:r>
      <w:r w:rsidR="00415FAA">
        <w:t xml:space="preserve"> </w:t>
      </w:r>
      <w:r w:rsidR="00E51B4D" w:rsidRPr="00E51B4D">
        <w:rPr>
          <w:lang w:val="en-US"/>
        </w:rPr>
        <w:t xml:space="preserve">Secondo la </w:t>
      </w:r>
      <w:proofErr w:type="spellStart"/>
      <w:r w:rsidR="00E51B4D" w:rsidRPr="00E51B4D">
        <w:rPr>
          <w:lang w:val="en-US"/>
        </w:rPr>
        <w:t>fa</w:t>
      </w:r>
      <w:r w:rsidR="00E51B4D">
        <w:rPr>
          <w:lang w:val="en-US"/>
        </w:rPr>
        <w:t>mosa</w:t>
      </w:r>
      <w:proofErr w:type="spellEnd"/>
      <w:r w:rsidR="00E51B4D">
        <w:rPr>
          <w:lang w:val="en-US"/>
        </w:rPr>
        <w:t xml:space="preserve"> </w:t>
      </w:r>
      <w:proofErr w:type="spellStart"/>
      <w:r w:rsidR="00E51B4D">
        <w:rPr>
          <w:lang w:val="en-US"/>
        </w:rPr>
        <w:t>citazione</w:t>
      </w:r>
      <w:proofErr w:type="spellEnd"/>
      <w:r w:rsidR="00E51B4D">
        <w:rPr>
          <w:lang w:val="en-US"/>
        </w:rPr>
        <w:t xml:space="preserve"> </w:t>
      </w:r>
      <w:proofErr w:type="spellStart"/>
      <w:r w:rsidR="00E51B4D">
        <w:rPr>
          <w:lang w:val="en-US"/>
        </w:rPr>
        <w:t>attribuita</w:t>
      </w:r>
      <w:proofErr w:type="spellEnd"/>
      <w:r w:rsidR="00E51B4D">
        <w:rPr>
          <w:lang w:val="en-US"/>
        </w:rPr>
        <w:t xml:space="preserve"> a K</w:t>
      </w:r>
      <w:r w:rsidR="00415FAA" w:rsidRPr="00415FAA">
        <w:rPr>
          <w:lang w:val="en-US"/>
        </w:rPr>
        <w:t xml:space="preserve">eynes, </w:t>
      </w:r>
      <w:r w:rsidR="00415FAA">
        <w:rPr>
          <w:lang w:val="en-US"/>
        </w:rPr>
        <w:t>“</w:t>
      </w:r>
      <w:r w:rsidR="00415FAA" w:rsidRPr="00E51B4D">
        <w:rPr>
          <w:i/>
          <w:lang w:val="en-US"/>
        </w:rPr>
        <w:t>the market can stay irrational longer than you can stay solvent</w:t>
      </w:r>
      <w:r w:rsidR="00415FAA">
        <w:rPr>
          <w:lang w:val="en-US"/>
        </w:rPr>
        <w:t>”</w:t>
      </w:r>
      <w:r w:rsidR="00E51B4D">
        <w:rPr>
          <w:lang w:val="en-US"/>
        </w:rPr>
        <w:t>.</w:t>
      </w:r>
    </w:p>
    <w:p w:rsidR="00E27A04" w:rsidRDefault="007E5A38" w:rsidP="00A925E9">
      <w:r>
        <w:t>E’ la stessa idea di mercato efficiente ad essere posta radicalmente in discussione</w:t>
      </w:r>
      <w:r w:rsidR="00E27A04">
        <w:t>, sia da operatori esperti, sia da studiosi.</w:t>
      </w:r>
    </w:p>
    <w:p w:rsidR="00E27A04" w:rsidRDefault="00E27A04" w:rsidP="00E27A04">
      <w:r>
        <w:t xml:space="preserve">Fra i primi, </w:t>
      </w:r>
      <w:r w:rsidR="00767E4E">
        <w:t>basterà citare</w:t>
      </w:r>
      <w:r>
        <w:t xml:space="preserve"> è il saggio</w:t>
      </w:r>
      <w:r w:rsidR="00767E4E">
        <w:t xml:space="preserve"> di un operatore del mercato esperto come</w:t>
      </w:r>
      <w:r>
        <w:t xml:space="preserve"> </w:t>
      </w:r>
      <w:proofErr w:type="spellStart"/>
      <w:r>
        <w:t>Soros</w:t>
      </w:r>
      <w:proofErr w:type="spellEnd"/>
      <w:r>
        <w:rPr>
          <w:rStyle w:val="Rimandonotaapidipagina"/>
        </w:rPr>
        <w:footnoteReference w:id="11"/>
      </w:r>
      <w:r w:rsidR="00767E4E">
        <w:t xml:space="preserve">, nel quale si </w:t>
      </w:r>
      <w:r w:rsidR="00415FAA">
        <w:t>argomenta c</w:t>
      </w:r>
      <w:r>
        <w:t xml:space="preserve">he </w:t>
      </w:r>
      <w:r w:rsidRPr="00FA1E0F">
        <w:t xml:space="preserve">i prezzi sul mercato </w:t>
      </w:r>
      <w:r w:rsidRPr="007E5A38">
        <w:t>non riflettono</w:t>
      </w:r>
      <w:r w:rsidRPr="00FA1E0F">
        <w:t xml:space="preserve"> alcun valore fondamentale, ma solo </w:t>
      </w:r>
      <w:r w:rsidRPr="007E5A38">
        <w:t>l’aspettativa</w:t>
      </w:r>
      <w:r w:rsidRPr="00FA1E0F">
        <w:t xml:space="preserve"> dei partecipanti rispetto ai prezzi futur</w:t>
      </w:r>
      <w:r>
        <w:t>i</w:t>
      </w:r>
      <w:r w:rsidRPr="00FA1E0F">
        <w:t xml:space="preserve">. </w:t>
      </w:r>
      <w:r>
        <w:t>Questa aspettativa presenta, peraltro, sia il carattere della fallibilità, perché nessuno dispone di tutti i dati ipoteticamente necessari, sia il carattere della rifl</w:t>
      </w:r>
      <w:r w:rsidR="00767E4E">
        <w:t>essività: la convinzione che i mercati siano efficienti influenza i comportam</w:t>
      </w:r>
      <w:r w:rsidR="005F172A">
        <w:t>enti degli investitori e la struttura dei mercati, ma non necessariamente produce mercati efficienti.</w:t>
      </w:r>
    </w:p>
    <w:p w:rsidR="00CB14EF" w:rsidRPr="00CB14EF" w:rsidRDefault="00CB14EF" w:rsidP="00CB14EF">
      <w:r>
        <w:t xml:space="preserve">Sulle complesse condizioni necessarie per assicurare il criterio di efficienza paretiana è tornato di recente il premio Nobel J. </w:t>
      </w:r>
      <w:proofErr w:type="spellStart"/>
      <w:r>
        <w:t>Stiglitz</w:t>
      </w:r>
      <w:proofErr w:type="spellEnd"/>
      <w:r>
        <w:t xml:space="preserve">, ricordando che i mercati non sono mai </w:t>
      </w:r>
      <w:r w:rsidR="00B9371A">
        <w:t xml:space="preserve">perfettamente </w:t>
      </w:r>
      <w:r>
        <w:t xml:space="preserve">efficienti se l’informazione è imperfetta e se </w:t>
      </w:r>
      <w:r>
        <w:lastRenderedPageBreak/>
        <w:t xml:space="preserve">ci sono asimmetrie informative: e poiché queste condizioni sono permanenti, i mercati non sono mai </w:t>
      </w:r>
      <w:r w:rsidR="00415FAA">
        <w:t xml:space="preserve">perfettamente </w:t>
      </w:r>
      <w:r>
        <w:t>efficienti</w:t>
      </w:r>
      <w:r>
        <w:rPr>
          <w:rStyle w:val="Rimandonotaapidipagina"/>
        </w:rPr>
        <w:footnoteReference w:id="12"/>
      </w:r>
      <w:r>
        <w:t>.</w:t>
      </w:r>
      <w:r w:rsidR="00B9371A">
        <w:t xml:space="preserve"> </w:t>
      </w:r>
    </w:p>
    <w:p w:rsidR="007E5A38" w:rsidRDefault="007E5A38" w:rsidP="00A925E9">
      <w:r>
        <w:t xml:space="preserve">L’efficienza dei mercati è negata </w:t>
      </w:r>
      <w:r w:rsidR="00CB14EF">
        <w:t xml:space="preserve">quindi </w:t>
      </w:r>
      <w:r>
        <w:t>oggi anche per il semplice motivo che le stesse condizioni indicate dai sostenitori della te</w:t>
      </w:r>
      <w:r w:rsidR="00B9371A">
        <w:t>si come necessarie perché essa s</w:t>
      </w:r>
      <w:r>
        <w:t xml:space="preserve">i realizzi in pratica non sono mai sempre </w:t>
      </w:r>
      <w:r w:rsidR="00B9371A">
        <w:t xml:space="preserve">tutte </w:t>
      </w:r>
      <w:r>
        <w:t>presenti in una situazione storica data</w:t>
      </w:r>
      <w:r>
        <w:rPr>
          <w:rStyle w:val="Rimandonotaapidipagina"/>
        </w:rPr>
        <w:footnoteReference w:id="13"/>
      </w:r>
      <w:r>
        <w:t>.</w:t>
      </w:r>
      <w:r w:rsidR="00B9371A">
        <w:t xml:space="preserve"> Naturalmente questo non significa che i mercati siano sempre e comunque inefficienti, ma solo che possono presentare gradi di efficienza diversa da caso e caso, e questi casi vanno quindi investigati analiticamente e non mediante assunzioni o presunzioni.</w:t>
      </w:r>
    </w:p>
    <w:p w:rsidR="00A925E9" w:rsidRDefault="00B9371A" w:rsidP="00A925E9">
      <w:r>
        <w:t xml:space="preserve">Questa acquisizione metodologica ha consentito anche di porre </w:t>
      </w:r>
      <w:r w:rsidR="00FA1E0F" w:rsidRPr="00FA1E0F">
        <w:t>in dubbio la stessa idea di equilibrio</w:t>
      </w:r>
      <w:r w:rsidR="00A925E9">
        <w:rPr>
          <w:rStyle w:val="Rimandonotaapidipagina"/>
        </w:rPr>
        <w:footnoteReference w:id="14"/>
      </w:r>
      <w:r w:rsidR="007E5A38">
        <w:t>, così centrale per sostenere l’efficienza del mercato</w:t>
      </w:r>
      <w:r w:rsidR="00A925E9">
        <w:t xml:space="preserve"> </w:t>
      </w:r>
      <w:r w:rsidR="00FA1E0F" w:rsidRPr="00FA1E0F">
        <w:t>e</w:t>
      </w:r>
      <w:r>
        <w:t xml:space="preserve">, per altro verso, di </w:t>
      </w:r>
      <w:r w:rsidR="00FA1E0F" w:rsidRPr="00FA1E0F">
        <w:t>rivaluta</w:t>
      </w:r>
      <w:r>
        <w:t>re</w:t>
      </w:r>
      <w:r w:rsidR="00FA1E0F" w:rsidRPr="00FA1E0F">
        <w:t xml:space="preserve"> l’importanza per l’</w:t>
      </w:r>
      <w:r w:rsidR="00FA1E0F">
        <w:t>e</w:t>
      </w:r>
      <w:r w:rsidR="00FA1E0F" w:rsidRPr="00FA1E0F">
        <w:t>conomia di elementi non economici</w:t>
      </w:r>
      <w:r w:rsidR="00A925E9">
        <w:t xml:space="preserve">: basti pensare agli studi sul ruolo delle istituzioni </w:t>
      </w:r>
      <w:r w:rsidR="00A925E9">
        <w:rPr>
          <w:rStyle w:val="Rimandonotaapidipagina"/>
        </w:rPr>
        <w:footnoteReference w:id="15"/>
      </w:r>
      <w:r w:rsidR="00A925E9">
        <w:t xml:space="preserve"> e della psicologia, </w:t>
      </w:r>
      <w:r w:rsidR="007E5A38">
        <w:t xml:space="preserve">che hanno fatto tornare in auge </w:t>
      </w:r>
      <w:r w:rsidR="00A925E9">
        <w:t xml:space="preserve">la famosa formula smithiana degli </w:t>
      </w:r>
      <w:proofErr w:type="spellStart"/>
      <w:r w:rsidR="00FA1E0F" w:rsidRPr="007E5A38">
        <w:rPr>
          <w:i/>
        </w:rPr>
        <w:t>animal</w:t>
      </w:r>
      <w:proofErr w:type="spellEnd"/>
      <w:r w:rsidR="00FA1E0F" w:rsidRPr="007E5A38">
        <w:rPr>
          <w:i/>
        </w:rPr>
        <w:t xml:space="preserve"> </w:t>
      </w:r>
      <w:proofErr w:type="spellStart"/>
      <w:r w:rsidR="00FA1E0F" w:rsidRPr="007E5A38">
        <w:rPr>
          <w:i/>
        </w:rPr>
        <w:t>spirits</w:t>
      </w:r>
      <w:proofErr w:type="spellEnd"/>
      <w:r w:rsidR="00A925E9">
        <w:rPr>
          <w:rStyle w:val="Rimandonotaapidipagina"/>
        </w:rPr>
        <w:footnoteReference w:id="16"/>
      </w:r>
      <w:r w:rsidR="00A925E9">
        <w:t>.</w:t>
      </w:r>
    </w:p>
    <w:p w:rsidR="00FA1E0F" w:rsidRPr="00B25EC3" w:rsidRDefault="00A925E9" w:rsidP="0058408A">
      <w:r>
        <w:t>P</w:t>
      </w:r>
      <w:r w:rsidR="00FA1E0F">
        <w:t>iù in generale</w:t>
      </w:r>
      <w:r w:rsidR="00B9371A">
        <w:t>,</w:t>
      </w:r>
      <w:r w:rsidR="00FA1E0F">
        <w:t xml:space="preserve"> </w:t>
      </w:r>
      <w:r w:rsidR="00B9371A">
        <w:t>s</w:t>
      </w:r>
      <w:r>
        <w:t>i è</w:t>
      </w:r>
      <w:r w:rsidR="00FA1E0F">
        <w:t xml:space="preserve"> ricordato che l’economia è una scienza, ma anche un </w:t>
      </w:r>
      <w:proofErr w:type="spellStart"/>
      <w:r w:rsidR="00FA1E0F" w:rsidRPr="00446783">
        <w:rPr>
          <w:i/>
        </w:rPr>
        <w:t>craft</w:t>
      </w:r>
      <w:proofErr w:type="spellEnd"/>
      <w:r w:rsidR="007E5A38">
        <w:rPr>
          <w:b/>
        </w:rPr>
        <w:t>:</w:t>
      </w:r>
      <w:r w:rsidR="00FA1E0F">
        <w:t xml:space="preserve"> </w:t>
      </w:r>
      <w:r w:rsidR="007E5A38">
        <w:t>un’</w:t>
      </w:r>
      <w:r w:rsidR="0058408A" w:rsidRPr="0058408A">
        <w:t xml:space="preserve">abilità, </w:t>
      </w:r>
      <w:r w:rsidR="007E5A38">
        <w:t>un’</w:t>
      </w:r>
      <w:r w:rsidR="0058408A" w:rsidRPr="0058408A">
        <w:t xml:space="preserve">arte, </w:t>
      </w:r>
      <w:r w:rsidR="007E5A38">
        <w:t xml:space="preserve">un </w:t>
      </w:r>
      <w:r w:rsidR="0058408A" w:rsidRPr="0058408A">
        <w:t>mestiere</w:t>
      </w:r>
      <w:r w:rsidR="007E5A38">
        <w:t xml:space="preserve"> che richiede la</w:t>
      </w:r>
      <w:r w:rsidR="00B9371A">
        <w:t xml:space="preserve"> </w:t>
      </w:r>
      <w:r w:rsidR="0058408A" w:rsidRPr="0058408A">
        <w:t>capacità di osservare le concrete circostanze</w:t>
      </w:r>
      <w:r w:rsidR="007E5A38">
        <w:t>, senza perdersi nella ricerca del</w:t>
      </w:r>
      <w:r w:rsidR="00FA1E0F" w:rsidRPr="00B25EC3">
        <w:t xml:space="preserve"> “</w:t>
      </w:r>
      <w:r w:rsidR="00FA1E0F" w:rsidRPr="00446783">
        <w:t>modello giusto</w:t>
      </w:r>
      <w:r w:rsidR="00FA1E0F" w:rsidRPr="00B25EC3">
        <w:t xml:space="preserve">” che </w:t>
      </w:r>
      <w:r w:rsidR="008828D3">
        <w:lastRenderedPageBreak/>
        <w:t>fornisca</w:t>
      </w:r>
      <w:r w:rsidR="00FA1E0F" w:rsidRPr="00B25EC3">
        <w:t xml:space="preserve"> una spi</w:t>
      </w:r>
      <w:r w:rsidR="00B25EC3">
        <w:t>e</w:t>
      </w:r>
      <w:r w:rsidR="00FA1E0F" w:rsidRPr="00B25EC3">
        <w:t>gazione universal</w:t>
      </w:r>
      <w:r w:rsidR="00B25EC3">
        <w:t>e</w:t>
      </w:r>
      <w:r w:rsidR="00FA1E0F" w:rsidRPr="00B25EC3">
        <w:t xml:space="preserve"> </w:t>
      </w:r>
      <w:r w:rsidR="00B25EC3">
        <w:t>nel t</w:t>
      </w:r>
      <w:r w:rsidR="00FA1E0F" w:rsidRPr="00B25EC3">
        <w:t>e</w:t>
      </w:r>
      <w:r w:rsidR="00B25EC3">
        <w:t>m</w:t>
      </w:r>
      <w:r w:rsidR="00FA1E0F" w:rsidRPr="00B25EC3">
        <w:t>po e nello spazio</w:t>
      </w:r>
      <w:r w:rsidR="00697D08">
        <w:t xml:space="preserve">, ma </w:t>
      </w:r>
      <w:r w:rsidR="008828D3">
        <w:t xml:space="preserve">costruendo invece </w:t>
      </w:r>
      <w:r w:rsidR="00697D08" w:rsidRPr="008828D3">
        <w:t>una serie di modell</w:t>
      </w:r>
      <w:r w:rsidR="002867EB" w:rsidRPr="008828D3">
        <w:t>i</w:t>
      </w:r>
      <w:r w:rsidR="00697D08" w:rsidRPr="008828D3">
        <w:t xml:space="preserve"> specifici</w:t>
      </w:r>
      <w:r w:rsidR="008828D3" w:rsidRPr="008828D3">
        <w:t>, da utilizzare</w:t>
      </w:r>
      <w:r w:rsidR="00697D08">
        <w:t xml:space="preserve"> per contesti diversi</w:t>
      </w:r>
      <w:r w:rsidR="00B9371A">
        <w:rPr>
          <w:rStyle w:val="Rimandonotaapidipagina"/>
        </w:rPr>
        <w:footnoteReference w:id="17"/>
      </w:r>
      <w:r>
        <w:t>.</w:t>
      </w:r>
    </w:p>
    <w:p w:rsidR="00446783" w:rsidRDefault="00A925E9" w:rsidP="00A925E9">
      <w:r>
        <w:t xml:space="preserve">Anche la scienza giuridica ha rivisto </w:t>
      </w:r>
      <w:r w:rsidR="00446783">
        <w:t>profondamente il suo metodo</w:t>
      </w:r>
      <w:r w:rsidR="00B9371A">
        <w:t>. E’ stato abbandonato, o comunque ridimensionato</w:t>
      </w:r>
      <w:r w:rsidR="00446783">
        <w:t xml:space="preserve"> il positivismo</w:t>
      </w:r>
      <w:r w:rsidR="00B9371A">
        <w:t>,</w:t>
      </w:r>
      <w:r w:rsidR="00446783">
        <w:t xml:space="preserve"> che consente di limitare l’analisi alle norme</w:t>
      </w:r>
      <w:r w:rsidR="00E72037">
        <w:t xml:space="preserve"> e obbliga a non andare oltre di esse</w:t>
      </w:r>
      <w:r w:rsidR="00B86E5C">
        <w:rPr>
          <w:rStyle w:val="Rimandonotaapidipagina"/>
        </w:rPr>
        <w:footnoteReference w:id="18"/>
      </w:r>
      <w:r w:rsidR="00E72037">
        <w:t xml:space="preserve">, pena l’accusa di </w:t>
      </w:r>
      <w:proofErr w:type="spellStart"/>
      <w:r w:rsidR="00E72037">
        <w:t>agiuridicità</w:t>
      </w:r>
      <w:proofErr w:type="spellEnd"/>
      <w:r w:rsidR="00B9371A">
        <w:t>: la fragilità del diritto come scienza sociale si percepisce anche dalla frequenza con la quale i giuristi si accusano l’un l’altro di non essere tali, o almeno di non essere abbastanza “puri”</w:t>
      </w:r>
      <w:r w:rsidR="00C5504B">
        <w:t xml:space="preserve">. Si è via via affermato, inoltre, un indirizzo favorevole </w:t>
      </w:r>
      <w:r w:rsidR="00E72037">
        <w:t xml:space="preserve">al pluralismo metodologico, volto a stabilire una connessione fra l’oggetto e il metodo di studio che può variare e che deve prendere in considerazione il contesto, le circostanze, gli interessi, la qualità e le strategie dei diversi attori. </w:t>
      </w:r>
      <w:r w:rsidR="00B86E5C">
        <w:t xml:space="preserve"> Sempre più frequentemente è stato seguito</w:t>
      </w:r>
      <w:r w:rsidR="00C5504B">
        <w:t>, almeno per il diritto amministrativo, che più di ogni altra disciplina ha ad oggetto lo studio dello Stato,</w:t>
      </w:r>
      <w:r w:rsidR="00B86E5C">
        <w:t xml:space="preserve"> l’insegnamento di Massimo Severo Giannini, che </w:t>
      </w:r>
      <w:r w:rsidR="00C57CE6">
        <w:t>esortava a trarre il sistema dal</w:t>
      </w:r>
      <w:r w:rsidR="00B86E5C">
        <w:t xml:space="preserve"> </w:t>
      </w:r>
      <w:r w:rsidR="00C57CE6">
        <w:t>reale</w:t>
      </w:r>
      <w:r w:rsidR="00B86E5C">
        <w:t>.</w:t>
      </w:r>
    </w:p>
    <w:p w:rsidR="008828D3" w:rsidRDefault="008828D3" w:rsidP="003F7CD9">
      <w:r>
        <w:t>La verità di fondo individuata da Guido Corso può allora essere esaminata, applicando quest</w:t>
      </w:r>
      <w:r w:rsidR="00B86E5C">
        <w:t>e indicazioni metodologiche</w:t>
      </w:r>
      <w:r w:rsidR="00697D08">
        <w:t xml:space="preserve">, </w:t>
      </w:r>
      <w:r>
        <w:t>mediante l’analisi di due questioni poste in primo piano dalla crisi economica globale, utili ad indagare come l’alternativa fra Stati e mercati – o meglio, nel caso di specie, fra falliment</w:t>
      </w:r>
      <w:r w:rsidR="00C5504B">
        <w:t>i</w:t>
      </w:r>
      <w:r>
        <w:t xml:space="preserve"> degli Stati e fallimenti dei m</w:t>
      </w:r>
      <w:r w:rsidR="00B86E5C">
        <w:t>e</w:t>
      </w:r>
      <w:r>
        <w:t>rcati – si sia concretamente posta. Le due questioni sono relative, rispettivamente, al ruolo e alla dimensione della regolazione pubblica e alla gestione del debito sovrano.</w:t>
      </w:r>
    </w:p>
    <w:p w:rsidR="003F7CD9" w:rsidRDefault="003F7CD9"/>
    <w:p w:rsidR="00A925E9" w:rsidRPr="003D24FA" w:rsidRDefault="00A925E9">
      <w:pPr>
        <w:rPr>
          <w:i/>
        </w:rPr>
      </w:pPr>
      <w:r w:rsidRPr="003D24FA">
        <w:rPr>
          <w:i/>
        </w:rPr>
        <w:t>3. La crisi globale: fallimenti dello Stato e falliment</w:t>
      </w:r>
      <w:r w:rsidR="00277B83" w:rsidRPr="003D24FA">
        <w:rPr>
          <w:i/>
        </w:rPr>
        <w:t>i</w:t>
      </w:r>
      <w:r w:rsidRPr="003D24FA">
        <w:rPr>
          <w:i/>
        </w:rPr>
        <w:t xml:space="preserve"> del mercato</w:t>
      </w:r>
    </w:p>
    <w:p w:rsidR="004352B9" w:rsidRDefault="00277B83" w:rsidP="00D90EA8">
      <w:r>
        <w:lastRenderedPageBreak/>
        <w:t>Nella ormai imponente letteratura sulle cause della crisi globale</w:t>
      </w:r>
      <w:r w:rsidR="004352B9">
        <w:t xml:space="preserve"> è diffusa l’affermazione che si sia verificato un doppio fallimento. Un fallimento dei mercati, come sempre accade quando si crea una bolla, che spesso inizia come una bolla immobiliare, si trasforma in bolla finanziaria e, nei casi peggiori, finisce per coinvolgere il sistema economico nel suo complesso</w:t>
      </w:r>
      <w:r w:rsidR="004352B9">
        <w:rPr>
          <w:rStyle w:val="Rimandonotaapidipagina"/>
        </w:rPr>
        <w:footnoteReference w:id="19"/>
      </w:r>
      <w:r w:rsidR="004352B9">
        <w:t>.</w:t>
      </w:r>
      <w:r>
        <w:t xml:space="preserve"> </w:t>
      </w:r>
      <w:r w:rsidR="004352B9">
        <w:t xml:space="preserve">Un fallimento della regolazione e dei regolatori, troppi deboli quanto a poteri, disattenti quanto a controlli, lenti nelle reazioni, inadeguati nella correzione degli errori. </w:t>
      </w:r>
    </w:p>
    <w:p w:rsidR="00266974" w:rsidRDefault="004352B9" w:rsidP="00D90EA8">
      <w:r>
        <w:t xml:space="preserve">La gamma di strumenti messi in campo per cercare di porre rimedio al duplice fallimento è davvero molto ampia. A parte la chiusura </w:t>
      </w:r>
      <w:r w:rsidR="0098694F">
        <w:t>f</w:t>
      </w:r>
      <w:r>
        <w:t>orzosa dell</w:t>
      </w:r>
      <w:r w:rsidR="0098694F">
        <w:t>e</w:t>
      </w:r>
      <w:r>
        <w:t xml:space="preserve"> banche escogitata dal presidente Roosevelt con l’introduzione di u</w:t>
      </w:r>
      <w:r w:rsidR="0098694F">
        <w:t>n giorno di vacanza nazionale, ancora oggi celebrato</w:t>
      </w:r>
      <w:r w:rsidR="0098694F">
        <w:rPr>
          <w:rStyle w:val="Rimandonotaapidipagina"/>
        </w:rPr>
        <w:footnoteReference w:id="20"/>
      </w:r>
      <w:r w:rsidR="00266974">
        <w:t>, che nessun governo nazionale ha avuto il coraggio di ripetere, ci sono state operazioni di nazionalizzazione, di commissariamento, di acquisto, di finanziamento, di immissione di liquidità, di garanzia, di assicurazione, che hanno riportato in primo piano la responsabilità dello Stato per il buon funzionamento – o il vero e proprio salvataggio – del mercato.</w:t>
      </w:r>
    </w:p>
    <w:p w:rsidR="0001508F" w:rsidRDefault="00D3209F" w:rsidP="00D90EA8">
      <w:r>
        <w:t xml:space="preserve">Una fra le maggiori differenze fra l’ambiente culturale e politico in cui maturò la reazione alla Grande Depressione degli anni ’30 e il paradigma dominante negli anni della recessione globale in cui ancora almeno in parte ci troviamo, sta nella “narrazione” posta a base e a giustificazione degli interventi pubblici. </w:t>
      </w:r>
    </w:p>
    <w:p w:rsidR="00BE1692" w:rsidRDefault="00D3209F" w:rsidP="00D90EA8">
      <w:r>
        <w:t xml:space="preserve">Negli anni ’30 si costruì, infatti, una nuova infrastruttura giuridica e istituzionale, destinata a durare a lungo e giustificata per l'appunto con la necessità di non tornare più al passato, di evitare per sempre una nuova crisi di quelle dimensioni. </w:t>
      </w:r>
    </w:p>
    <w:p w:rsidR="00266974" w:rsidRDefault="00266974" w:rsidP="00D90EA8">
      <w:r>
        <w:lastRenderedPageBreak/>
        <w:t>Pur nell’urgenza, e in alcuni momenti nella vera e propria concitazione, dell’attivazione da parte dei governi e delle banche centrali d</w:t>
      </w:r>
      <w:r w:rsidR="00D3209F">
        <w:t>egli strumenti necessari per far fronte alla crisi degli anni 2000, è stata invece costantemente ribadita la natura temporanea, eccezionale, emergenziale e, al fondo, transeunte, dell’intervento pubblico. Necessario per correggere gli squilibri, ma destinato a scomparire non appena l’equilibrio, ancora considerata la naturale condizione del mercato, fosse stato ripristinato. Termini come “</w:t>
      </w:r>
      <w:proofErr w:type="spellStart"/>
      <w:r w:rsidR="00D3209F" w:rsidRPr="0001508F">
        <w:rPr>
          <w:i/>
        </w:rPr>
        <w:t>temporary</w:t>
      </w:r>
      <w:proofErr w:type="spellEnd"/>
      <w:r w:rsidR="00D3209F" w:rsidRPr="0001508F">
        <w:rPr>
          <w:i/>
        </w:rPr>
        <w:t xml:space="preserve"> public </w:t>
      </w:r>
      <w:proofErr w:type="spellStart"/>
      <w:r w:rsidR="00D3209F" w:rsidRPr="0001508F">
        <w:rPr>
          <w:i/>
        </w:rPr>
        <w:t>ownership</w:t>
      </w:r>
      <w:proofErr w:type="spellEnd"/>
      <w:r w:rsidR="00D3209F">
        <w:t>” e “</w:t>
      </w:r>
      <w:proofErr w:type="spellStart"/>
      <w:r w:rsidR="00D3209F" w:rsidRPr="0001508F">
        <w:rPr>
          <w:i/>
        </w:rPr>
        <w:t>temporary</w:t>
      </w:r>
      <w:proofErr w:type="spellEnd"/>
      <w:r w:rsidR="00D3209F" w:rsidRPr="0001508F">
        <w:rPr>
          <w:i/>
        </w:rPr>
        <w:t xml:space="preserve"> </w:t>
      </w:r>
      <w:proofErr w:type="spellStart"/>
      <w:r w:rsidR="00D3209F" w:rsidRPr="0001508F">
        <w:rPr>
          <w:i/>
        </w:rPr>
        <w:t>conservatorship</w:t>
      </w:r>
      <w:proofErr w:type="spellEnd"/>
      <w:r w:rsidR="00D3209F">
        <w:t>” sono stati util</w:t>
      </w:r>
      <w:r w:rsidR="00BE1692">
        <w:t>izzati negli Stati uniti e nel R</w:t>
      </w:r>
      <w:r w:rsidR="00D3209F">
        <w:t xml:space="preserve">egno unito per giustificare vere e proprie nazionalizzazioni o trasformazioni di strutture private in strutture pubbliche. Gli stessi interventi delle banche centrali, che pur mantengono lo stesso indirizzo ormai da alcuni anni, sono continuamente sottoposti ad un scrutinio volto a </w:t>
      </w:r>
      <w:r w:rsidR="004A5464">
        <w:t xml:space="preserve">prevedere e </w:t>
      </w:r>
      <w:r w:rsidR="00D3209F">
        <w:t>determinare quale sarà il momento di cessazione</w:t>
      </w:r>
      <w:r w:rsidR="004A5464">
        <w:t xml:space="preserve"> (e, spesso, a profetizzare grandi rischi connessi a quegli interventi, che </w:t>
      </w:r>
      <w:r w:rsidR="00ED14F8">
        <w:t>n</w:t>
      </w:r>
      <w:r w:rsidR="004A5464">
        <w:t>on si sono però ancora in effetti non solo realizzati, ma neanche palesati)</w:t>
      </w:r>
      <w:r w:rsidR="00D3209F">
        <w:t>.</w:t>
      </w:r>
    </w:p>
    <w:p w:rsidR="0001508F" w:rsidRDefault="0001508F" w:rsidP="00D90EA8">
      <w:r>
        <w:t>Se la grande crisi del ’29 fu fra gli elementi che portarono ad una grande espansione dell’intervento pubblico, alla costruzione di apparati dello Stato interamente nuovi e alla produzione di complessi di regole prima inesistenti, la crisi globale di questi anni sembra avere, sotto questo profilo, effetti completamente diversi. Il ruolo dello Stato e dell’intervento pubblico è sempre e comunque posto in discussione</w:t>
      </w:r>
      <w:r w:rsidR="00ED14F8">
        <w:rPr>
          <w:rStyle w:val="Rimandonotaapidipagina"/>
        </w:rPr>
        <w:footnoteReference w:id="21"/>
      </w:r>
      <w:r>
        <w:t xml:space="preserve">, come dimostra, ad esempio, anche il lentissimo progresso nella produzione di nuove regole e nella costruzione di nuove istituzioni di controllo o nel rafforzamento di quelle esistenti. Negli Stati uniti ci sono voluti quattro anni per approvare il </w:t>
      </w:r>
      <w:proofErr w:type="spellStart"/>
      <w:r>
        <w:t>Dodd</w:t>
      </w:r>
      <w:proofErr w:type="spellEnd"/>
      <w:r>
        <w:t xml:space="preserve"> </w:t>
      </w:r>
      <w:proofErr w:type="spellStart"/>
      <w:r>
        <w:t>Franks</w:t>
      </w:r>
      <w:proofErr w:type="spellEnd"/>
      <w:r>
        <w:t xml:space="preserve"> </w:t>
      </w:r>
      <w:proofErr w:type="spellStart"/>
      <w:r>
        <w:t>Act</w:t>
      </w:r>
      <w:proofErr w:type="spellEnd"/>
      <w:r>
        <w:rPr>
          <w:rStyle w:val="Rimandonotaapidipagina"/>
        </w:rPr>
        <w:footnoteReference w:id="22"/>
      </w:r>
      <w:r>
        <w:t xml:space="preserve"> e il sistema di </w:t>
      </w:r>
      <w:proofErr w:type="spellStart"/>
      <w:r w:rsidRPr="0001508F">
        <w:rPr>
          <w:i/>
        </w:rPr>
        <w:t>umbrella</w:t>
      </w:r>
      <w:proofErr w:type="spellEnd"/>
      <w:r w:rsidRPr="0001508F">
        <w:rPr>
          <w:i/>
        </w:rPr>
        <w:t xml:space="preserve"> </w:t>
      </w:r>
      <w:proofErr w:type="spellStart"/>
      <w:r w:rsidRPr="0001508F">
        <w:rPr>
          <w:i/>
        </w:rPr>
        <w:t>regulator</w:t>
      </w:r>
      <w:proofErr w:type="spellEnd"/>
      <w:r>
        <w:t xml:space="preserve"> e di nuovi controlli lì previsto è ancora ben lontano dall’essere posto in funzione. Anzi, le resistenz</w:t>
      </w:r>
      <w:r w:rsidR="00BE1692">
        <w:t>e</w:t>
      </w:r>
      <w:r>
        <w:t xml:space="preserve"> dei regolati son</w:t>
      </w:r>
      <w:r w:rsidR="00983B62">
        <w:t>o</w:t>
      </w:r>
      <w:r>
        <w:t xml:space="preserve"> tali da far temere che almeno una parte di quella regolazione non diventerà mai davvero efficace.</w:t>
      </w:r>
    </w:p>
    <w:p w:rsidR="00983B62" w:rsidRDefault="00983B62" w:rsidP="00D90EA8">
      <w:r>
        <w:t xml:space="preserve">In Europa gli interessi divergenti dei paesi creditori e dei paesi debitori hanno operato da freno potente a nuove forme di intervento pubblico, soprattutto </w:t>
      </w:r>
      <w:r>
        <w:lastRenderedPageBreak/>
        <w:t>nei singoli ordinamenti, che devono fare i conti con gli obblighi di pareggio di bilancio e con il divieto di aiuti di Stato. La crisi ha portato, però, ad una accelerazione nella costruzione di reti di regolatori sui mercati finanziari e, soprattutto,  all’assunzione di un nuovo ruolo da parte della Bce</w:t>
      </w:r>
      <w:r w:rsidR="00BE1692">
        <w:rPr>
          <w:rStyle w:val="Rimandonotaapidipagina"/>
        </w:rPr>
        <w:footnoteReference w:id="23"/>
      </w:r>
      <w:r>
        <w:t xml:space="preserve"> e all’avvio di una Unione bancaria che “stringe” insieme apparati europei e apparati nazionali con forme e strumenti inediti di cooperazione</w:t>
      </w:r>
      <w:r w:rsidR="001A1882">
        <w:rPr>
          <w:rStyle w:val="Rimandonotaapidipagina"/>
        </w:rPr>
        <w:footnoteReference w:id="24"/>
      </w:r>
      <w:r>
        <w:t>.</w:t>
      </w:r>
    </w:p>
    <w:p w:rsidR="003D24FA" w:rsidRDefault="003D24FA" w:rsidP="00D90EA8">
      <w:r>
        <w:t>Siamo ben lontani, dunque, dalle radicali innovazioni che la crisi del ’29 produsse in tema di ruolo dello Stato, ampiezza dell’intervento pubblico, estensione e profondità della regolazione dei mercati finanziari, costruzione di nuovi apparati e strumenti pubblici. Le ragioni della differenza sono molteplici, a partire dalla semplice considerazione che i governi nazionali avevano di fronte a sé, negli anni Trenta, un vuoto da riempire: e proprio perchè quel vuoto è stato riempito, il ruolo dei governi nazionali quasi ottanta anni dopo non ha avuto la stessa possibilità e ampiezza di manovra.</w:t>
      </w:r>
    </w:p>
    <w:p w:rsidR="006E578A" w:rsidRDefault="00C81A02" w:rsidP="007C35BB">
      <w:r>
        <w:t>Colpisce, però, che pur essendo in fondo riusciti ad evitare che la recessione si trasformasse in depressione e ad assorbire i rischi che il mercato – dopo averli creati</w:t>
      </w:r>
      <w:r w:rsidR="00ED14F8">
        <w:rPr>
          <w:rStyle w:val="Rimandonotaapidipagina"/>
        </w:rPr>
        <w:footnoteReference w:id="25"/>
      </w:r>
      <w:r>
        <w:t xml:space="preserve"> – non era in condizione di affrontare, i governi nazionali siano ancora oggi considerati colpevoli di aver posto in essere – o di desiderare di porre in essere - politiche di spesa e di indebitamento che non vengono valutate con il metro dell’efficacia, bensì secondo criteri di credibilità e sostenibilità in base ai quali lo Stato può rapidamente passare dal ruolo di “salvatore” al ruolo di debitore insolvente. Inutile dire che questi criteri non vengono applicati in egual misura e con uguale accanimento a tutti gli Stati, tanto che persino alcune istituzioni internazionali hanno iniziato un’opera di revisione critica del complesso di misure </w:t>
      </w:r>
      <w:r>
        <w:lastRenderedPageBreak/>
        <w:t>che vanno sotto il nome di “austerità” e che, soprattutto in Europa, hann</w:t>
      </w:r>
      <w:r w:rsidR="00126F85">
        <w:t xml:space="preserve">o finito per operare in funzione </w:t>
      </w:r>
      <w:proofErr w:type="spellStart"/>
      <w:r w:rsidR="00126F85">
        <w:t>prociclica</w:t>
      </w:r>
      <w:proofErr w:type="spellEnd"/>
      <w:r w:rsidR="00126F85">
        <w:t>, invece che anticiclica</w:t>
      </w:r>
      <w:r w:rsidR="007C35BB">
        <w:rPr>
          <w:rStyle w:val="Rimandonotaapidipagina"/>
        </w:rPr>
        <w:footnoteReference w:id="26"/>
      </w:r>
      <w:r w:rsidR="00126F85">
        <w:t>.</w:t>
      </w:r>
    </w:p>
    <w:p w:rsidR="001A1882" w:rsidRDefault="001A1882" w:rsidP="001A1882">
      <w:r>
        <w:t>Nella fisica delle istituzioni, come in quella dei corpi, il vuoto viene per</w:t>
      </w:r>
      <w:r w:rsidR="00BE1692">
        <w:t>ò sempre rapidamente riempito. N</w:t>
      </w:r>
      <w:r>
        <w:t>el caso della crisi globale il vuoto apertosi in ragione della limitata capacità o volontà di intervento dei governi nazionali è stato riempito dalle banche centrali. La Fed e la Bce hanno sfruttato fino in fondo i loro mandati fornendo liquidità al sistema economico con misure anticonvenzionali che, nonost</w:t>
      </w:r>
      <w:r w:rsidR="009C135D">
        <w:t>ante le critiche e gli ostacoli</w:t>
      </w:r>
      <w:r>
        <w:t xml:space="preserve">, si sono </w:t>
      </w:r>
      <w:r w:rsidR="00BE1692">
        <w:t xml:space="preserve">affermate se non altro per mancanza di alternative. </w:t>
      </w:r>
    </w:p>
    <w:p w:rsidR="001A1882" w:rsidRDefault="001A1882" w:rsidP="001A1882">
      <w:r>
        <w:t>Emerge, così, una caratteristica paradossale della crisi globale. Proprio la tendenza a ridurre l’ambito e la capacità di intervento dei governi nazionali finisce per consentire e anzi obbligare all’espansione dell’ambito di azioni di istituzioni tecniche e indipendenti dai governi come le banche centrali. Decisioni politiche si camuffano sotto le spoglie di decisioni tecniche e decisioni tecniche vengono conformate da esigenze politiche. La pressione si sposta, allora, dai governi nazionali alle banche centrali, tanto da rimettere in discussione il loro mandato e le loro stesse modalità di decisione. Le misure volte ad assicurare un qualche grado di pubblicità e di trasparenza agli incontri e alle decisioni delle banche centrali son</w:t>
      </w:r>
      <w:r w:rsidR="00743D0B">
        <w:t>o</w:t>
      </w:r>
      <w:r>
        <w:t xml:space="preserve"> un segnale dell’attenzione dell’opinione pubblica e della rilevanza politica – almeno in senso lato – delle loro decisioni</w:t>
      </w:r>
      <w:r w:rsidR="00BE1692">
        <w:rPr>
          <w:rStyle w:val="Rimandonotaapidipagina"/>
        </w:rPr>
        <w:footnoteReference w:id="27"/>
      </w:r>
      <w:r>
        <w:t>.</w:t>
      </w:r>
    </w:p>
    <w:p w:rsidR="001A1882" w:rsidRDefault="001A1882" w:rsidP="001A1882"/>
    <w:p w:rsidR="001A1882" w:rsidRPr="001A1882" w:rsidRDefault="001A1882" w:rsidP="007C35BB">
      <w:pPr>
        <w:rPr>
          <w:i/>
        </w:rPr>
      </w:pPr>
      <w:r w:rsidRPr="001A1882">
        <w:rPr>
          <w:i/>
        </w:rPr>
        <w:t>4. Il debito sovrano e l’equilibrio nei Trattati europei</w:t>
      </w:r>
    </w:p>
    <w:p w:rsidR="00743D0B" w:rsidRDefault="00743D0B" w:rsidP="00253744">
      <w:r>
        <w:t xml:space="preserve">Il rapporto fra Stati e mercati si configura, dunque, come una serie continua di interazioni, fra le quali è emersa con particolare evidenza, negli ultimi anni, la capacità dei mercati di “giudicare” gli Stati. Il debito sovrano resta sovrano per la qualità del debitore, ma per ottenere un giudizio positivo dai mercati deve dimostrare di essere credibile e sostenibile, ed essere quindi accompagnato da misure di riforma – del mercato del lavoro, dei sistemi di </w:t>
      </w:r>
      <w:r>
        <w:lastRenderedPageBreak/>
        <w:t>welfare, degli investimenti pubblici – in assenza delle quali la crescita dei tassi di interesse può rapidamente incidere direttamente sulla sovranità nazionale.</w:t>
      </w:r>
    </w:p>
    <w:p w:rsidR="00025DD3" w:rsidRDefault="009C135D" w:rsidP="009F5C50">
      <w:r>
        <w:t xml:space="preserve">Il tema è </w:t>
      </w:r>
      <w:r w:rsidR="00743D0B">
        <w:t xml:space="preserve">divenuto </w:t>
      </w:r>
      <w:r>
        <w:t>particolarmente rilevante in Europa,</w:t>
      </w:r>
      <w:r w:rsidR="00743D0B">
        <w:t xml:space="preserve"> soprattutto per due ordini di ragioni. </w:t>
      </w:r>
    </w:p>
    <w:p w:rsidR="006D6B99" w:rsidRDefault="00743D0B" w:rsidP="009F5C50">
      <w:r>
        <w:t>La</w:t>
      </w:r>
      <w:r w:rsidR="009C135D">
        <w:t xml:space="preserve"> </w:t>
      </w:r>
      <w:r w:rsidR="004C4E45">
        <w:t xml:space="preserve">gestione della crisi mediante la </w:t>
      </w:r>
      <w:r w:rsidR="009C135D">
        <w:t xml:space="preserve">politica di </w:t>
      </w:r>
      <w:r w:rsidR="009C135D" w:rsidRPr="00743D0B">
        <w:rPr>
          <w:i/>
        </w:rPr>
        <w:t>austerity</w:t>
      </w:r>
      <w:r w:rsidR="009C135D">
        <w:t xml:space="preserve"> propugnata dalla miope </w:t>
      </w:r>
      <w:r w:rsidR="009C135D" w:rsidRPr="00743D0B">
        <w:rPr>
          <w:i/>
        </w:rPr>
        <w:t>leadership</w:t>
      </w:r>
      <w:r w:rsidR="009C135D">
        <w:t xml:space="preserve"> tedesca</w:t>
      </w:r>
      <w:r>
        <w:t xml:space="preserve"> ha, per un verso, creato una divisione fra paesi creditori e paesi debitori che sta mettendo in discussione </w:t>
      </w:r>
      <w:r w:rsidR="009F5C50">
        <w:t xml:space="preserve">la </w:t>
      </w:r>
      <w:r>
        <w:t>stessa capacità di sviluppo e di crescita sia dell’area dell’euro, sia del progetto di integrazione europea</w:t>
      </w:r>
      <w:r w:rsidR="006D6B99">
        <w:rPr>
          <w:rStyle w:val="Rimandonotaapidipagina"/>
        </w:rPr>
        <w:footnoteReference w:id="28"/>
      </w:r>
      <w:r>
        <w:t>.</w:t>
      </w:r>
      <w:r w:rsidR="009F5C50">
        <w:t xml:space="preserve"> </w:t>
      </w:r>
    </w:p>
    <w:p w:rsidR="004C4E45" w:rsidRDefault="009F5C50" w:rsidP="009F5C50">
      <w:r>
        <w:t>Ancor prima della contin</w:t>
      </w:r>
      <w:r w:rsidR="00025DD3">
        <w:t>g</w:t>
      </w:r>
      <w:r>
        <w:t>enza politica, vengono in rilievo, per altro verso, i limiti dell’architettura istituzionale posta a base dei Trattati. I T</w:t>
      </w:r>
      <w:r w:rsidR="009C135D">
        <w:t xml:space="preserve">rattati europei sono basati su un’idea di </w:t>
      </w:r>
      <w:r w:rsidR="009C135D" w:rsidRPr="009F5C50">
        <w:t xml:space="preserve">equilibrio </w:t>
      </w:r>
      <w:r>
        <w:t xml:space="preserve">del mercato </w:t>
      </w:r>
      <w:r w:rsidR="009C135D">
        <w:t xml:space="preserve">e </w:t>
      </w:r>
      <w:r>
        <w:t xml:space="preserve">di equilibrio </w:t>
      </w:r>
      <w:r w:rsidR="009C135D">
        <w:t xml:space="preserve">fra gli Stati che </w:t>
      </w:r>
      <w:r>
        <w:t>era probabilmente</w:t>
      </w:r>
      <w:r w:rsidR="009C135D">
        <w:t xml:space="preserve"> irrealistica </w:t>
      </w:r>
      <w:r>
        <w:t xml:space="preserve">sin dalla sua concezione, ma </w:t>
      </w:r>
      <w:r w:rsidR="009C135D">
        <w:t xml:space="preserve">comunque </w:t>
      </w:r>
      <w:r w:rsidR="004C4E45">
        <w:t>appare irr</w:t>
      </w:r>
      <w:r w:rsidR="009C135D">
        <w:t>aggiungibile oggi</w:t>
      </w:r>
      <w:r w:rsidR="004C4E45">
        <w:t>. Quell’equilibrio si dovrebbe reggere, fra l’altro, grazie ai tetti posti tanto al deficit come al surplus di ciascun paese, ma questi limiti sono stati ripetutamente violati sia dai paesi debitori, sia dai paesi creditori</w:t>
      </w:r>
      <w:r w:rsidR="004627DD">
        <w:t>, con la differenza che mentre le misure di correzione dei deficit sono al centro di complessi procedimenti e sistemi di controllo,</w:t>
      </w:r>
      <w:r w:rsidR="004C4E45">
        <w:t xml:space="preserve"> nessuna misura di correzione è stata adottata per correggere un surplus tedesco che da </w:t>
      </w:r>
      <w:r w:rsidR="004627DD">
        <w:t>diversi</w:t>
      </w:r>
      <w:r w:rsidR="004C4E45">
        <w:t xml:space="preserve"> anni supera il limite del 6% posto dai Trattati.</w:t>
      </w:r>
    </w:p>
    <w:p w:rsidR="004C4E45" w:rsidRDefault="004C4E45" w:rsidP="004C4E45">
      <w:r>
        <w:t>Lo stesso mandato della Bce, finalizzato appunto alla stabilità dei prezzi, è stato concepito all’interno di un paradigma basato sull’idea di equilibrio. Quando quell’equilibrio è stato “turbato”, per così dire, da una prolungata deflazione, le misure correttive adottate dalla Bce sono state, però contestate come una violazione del mandato e la stessa Bce ha dovuto giustificare il proprio operato appellandosi alle disposizioni dei Trattati che prevedono circostanze eccezionali.</w:t>
      </w:r>
      <w:r w:rsidR="004627DD">
        <w:t xml:space="preserve"> </w:t>
      </w:r>
    </w:p>
    <w:p w:rsidR="00445364" w:rsidRDefault="004627DD">
      <w:r>
        <w:t>Una banca centrale non</w:t>
      </w:r>
      <w:r w:rsidR="00C077A6">
        <w:t xml:space="preserve"> può</w:t>
      </w:r>
      <w:r>
        <w:t xml:space="preserve">, però, sostituire permanentemente e del tutto le politiche pubbliche che sono parte integrante di un sistema economico di mercato. Il programma di investimenti predisposto dalla Commissione Junker, la moltiplicazione delle iniziative delle banche di investimento pubblico (come la </w:t>
      </w:r>
      <w:r>
        <w:lastRenderedPageBreak/>
        <w:t>Cassa depositi e prestiti in Italia</w:t>
      </w:r>
      <w:r w:rsidR="006D6B99">
        <w:t xml:space="preserve"> e ai suoi omologhi in Francia e Germania)</w:t>
      </w:r>
      <w:r>
        <w:t xml:space="preserve">, il ricorso sempre più frequente a strumenti di garanzia pubblica per interventi di ristrutturazione industriale, sono tutti segnali di un nuovo riallineamento del rapporto fra Stato e mercato, ispirato </w:t>
      </w:r>
      <w:r w:rsidR="00C077A6">
        <w:t xml:space="preserve">almeno per ora </w:t>
      </w:r>
      <w:r>
        <w:t>più al pragmatismo che all’ideologia.</w:t>
      </w:r>
      <w:r w:rsidR="00C077A6">
        <w:t xml:space="preserve"> </w:t>
      </w:r>
    </w:p>
    <w:p w:rsidR="004627DD" w:rsidRDefault="004627DD"/>
    <w:p w:rsidR="00F12644" w:rsidRPr="009C135D" w:rsidRDefault="00F12644">
      <w:pPr>
        <w:rPr>
          <w:i/>
        </w:rPr>
      </w:pPr>
      <w:r w:rsidRPr="009C135D">
        <w:rPr>
          <w:i/>
        </w:rPr>
        <w:t xml:space="preserve">5. </w:t>
      </w:r>
      <w:r w:rsidR="00C077A6">
        <w:rPr>
          <w:i/>
        </w:rPr>
        <w:t>Conclusioni</w:t>
      </w:r>
    </w:p>
    <w:p w:rsidR="001F1A33" w:rsidRDefault="00C077A6" w:rsidP="00F12644">
      <w:r>
        <w:t>La verità di fondo enunciata da Guido Corso, esaminata alla luce della più recente esperienza mantiene dunque un nucleo di forza esplicativa, a condizione di guardare agli Stati e ai mercati</w:t>
      </w:r>
      <w:r w:rsidR="00E65153">
        <w:t xml:space="preserve">, e ai loro fallimenti, con maggiore attenzione all’esperienza e minore affidamento alle presunzioni. </w:t>
      </w:r>
    </w:p>
    <w:p w:rsidR="00E65153" w:rsidRDefault="00E65153" w:rsidP="00F12644">
      <w:r>
        <w:t xml:space="preserve">La corretta distribuzione delle informazioni, l’efficace copertura dei rischi, l’assunzione di responsabilità che vadano oltre la contingenza e il breve periodo, la produzione di beni meritori in quantità sufficiente e con qualità soddisfacente, la flessibilità e la capacità di innovazione, per citare solo alcune delle condizioni necessarie per garantire lo sviluppo e la crescita di una società, devono essere assicurate, di volta in volta, dallo Stato o dal mercato, a seconda delle concrete circostanze. Si </w:t>
      </w:r>
      <w:r w:rsidR="006D6B99">
        <w:t>sono</w:t>
      </w:r>
      <w:r>
        <w:t xml:space="preserve"> dimostrat</w:t>
      </w:r>
      <w:r w:rsidR="006D6B99">
        <w:t>i</w:t>
      </w:r>
      <w:r>
        <w:t>, invece, ideologic</w:t>
      </w:r>
      <w:r w:rsidR="006D6B99">
        <w:t>i</w:t>
      </w:r>
      <w:r>
        <w:t xml:space="preserve"> </w:t>
      </w:r>
      <w:r w:rsidR="006D6B99">
        <w:t>g</w:t>
      </w:r>
      <w:r>
        <w:t>l</w:t>
      </w:r>
      <w:r w:rsidR="006D6B99">
        <w:t xml:space="preserve">i </w:t>
      </w:r>
      <w:r>
        <w:t>approcci che vorrebbe</w:t>
      </w:r>
      <w:r w:rsidR="006D6B99">
        <w:t>ro</w:t>
      </w:r>
      <w:r>
        <w:t xml:space="preserve"> attribuire determinate capacità o funzioni a priori all’uno o all’altro. </w:t>
      </w:r>
    </w:p>
    <w:p w:rsidR="00E65153" w:rsidRDefault="00E65153" w:rsidP="00F12644">
      <w:r>
        <w:t>Ad un lungo ciclo storico – dagli anni ’20 sino agli anni ’80 - che ha visto l’espansione del ruolo dello Stato è succeduto un ciclo di circa tre decenni in cui si è affermato il ruolo del mercato.</w:t>
      </w:r>
      <w:r w:rsidR="003A2F52">
        <w:t xml:space="preserve"> Oggi torna ad affacciarsi l’esigenza di un maggiore ruolo dello Stato, ma come si è visto, non si tratta di una mera ripetizione del passato, ma piuttosto di una nuova configurazione dell’intervento pubblico, visto più come un correttivo necessario, ma passeggero, che come un nuovo schema di riferimento generale. E’ difficile dire se i nuovi assetti regolatori, il nuovo ruolo assunto dalle banche centrali, le nuove architetture istituzionali sul piano sovranazionale, la </w:t>
      </w:r>
      <w:r w:rsidR="00364039">
        <w:t>nuova gamma</w:t>
      </w:r>
      <w:r w:rsidR="003A2F52">
        <w:t xml:space="preserve"> di strumenti di garanzia, assicurazione e investimento messi in campo per far fronte alla crisi, lasceranno il passo, ad un certo momento, al ritorno della “normalità”.</w:t>
      </w:r>
      <w:r w:rsidR="00364039">
        <w:t xml:space="preserve"> O se, al contrario, essi </w:t>
      </w:r>
      <w:r w:rsidR="00364039">
        <w:lastRenderedPageBreak/>
        <w:t>sono solo i segni e i sintomi di un nuovo assetto, che deve ancora consolidarsi e svilupparsi.</w:t>
      </w:r>
    </w:p>
    <w:p w:rsidR="0048271D" w:rsidRDefault="00364039">
      <w:r>
        <w:t>L’esperienza della crisi globale ha mostrato, in ogni caso, che i</w:t>
      </w:r>
      <w:r w:rsidR="00C077A6">
        <w:t xml:space="preserve"> mercati </w:t>
      </w:r>
      <w:r>
        <w:t xml:space="preserve">– soprattutto quelli finanziari - </w:t>
      </w:r>
      <w:r w:rsidR="00C077A6">
        <w:t>incontrano un limite evidente e insuperabile nell</w:t>
      </w:r>
      <w:r w:rsidR="0048271D">
        <w:t>’</w:t>
      </w:r>
      <w:r w:rsidR="00C077A6">
        <w:t>a</w:t>
      </w:r>
      <w:r w:rsidR="0048271D">
        <w:t>simmetria</w:t>
      </w:r>
      <w:r w:rsidR="00C077A6">
        <w:t xml:space="preserve"> </w:t>
      </w:r>
      <w:r w:rsidR="0048271D">
        <w:t xml:space="preserve">fra la </w:t>
      </w:r>
      <w:r w:rsidR="00C077A6">
        <w:t xml:space="preserve">quantità di rischio che sono in grado di </w:t>
      </w:r>
      <w:r w:rsidR="0048271D">
        <w:t xml:space="preserve">produrre e la quantità di rischio che sono in grado di </w:t>
      </w:r>
      <w:r w:rsidR="00C077A6">
        <w:t>assorbire</w:t>
      </w:r>
      <w:r w:rsidR="0048271D">
        <w:t>. L’intervento dello Stato trova la propria giustificazione non tanto e solo nella produzione di beni che il mercato non è in grado di produrre, ma anche e soprattutto nella regolazione e nel controllo dei rischi che possono rapidamente estendersi da un segmento di mercato – quello finanziario</w:t>
      </w:r>
      <w:r>
        <w:t>,</w:t>
      </w:r>
      <w:r w:rsidR="0048271D">
        <w:t xml:space="preserve"> </w:t>
      </w:r>
      <w:r>
        <w:t>appunto</w:t>
      </w:r>
      <w:r w:rsidR="0048271D">
        <w:t xml:space="preserve"> - all’intero sistema economico.</w:t>
      </w:r>
    </w:p>
    <w:p w:rsidR="00AD7EE4" w:rsidRDefault="0048271D">
      <w:r>
        <w:t xml:space="preserve">Perché il rischio non diventi sistemico è necessaria </w:t>
      </w:r>
      <w:r w:rsidR="00364039">
        <w:t xml:space="preserve">allora </w:t>
      </w:r>
      <w:r>
        <w:t xml:space="preserve">un’articolata infrastruttura </w:t>
      </w:r>
      <w:proofErr w:type="spellStart"/>
      <w:r>
        <w:t>regolatoria</w:t>
      </w:r>
      <w:proofErr w:type="spellEnd"/>
      <w:r>
        <w:t>, composta di norme, principi, controlli</w:t>
      </w:r>
      <w:r w:rsidR="00364039">
        <w:t xml:space="preserve"> e</w:t>
      </w:r>
      <w:r>
        <w:t xml:space="preserve"> apparati, </w:t>
      </w:r>
      <w:r w:rsidR="00364039">
        <w:t xml:space="preserve">con una operatività spesso estesa ben oltre i confini nazionali. La regolazione incontra, però, a sua volta un limite </w:t>
      </w:r>
      <w:r w:rsidR="00AD7EE4">
        <w:t>invalicabile nella impossibilità di regolare una volta per tutte</w:t>
      </w:r>
      <w:r w:rsidR="00364039">
        <w:t xml:space="preserve"> tutti i soggetti e le attività operanti sui mercati, anche perché questi reagiscono alla regolazione stessa. Il ciclo di alternanza </w:t>
      </w:r>
      <w:r w:rsidR="00E51B4D">
        <w:t xml:space="preserve">e interazione fra Stati e mercati </w:t>
      </w:r>
      <w:r w:rsidR="00364039">
        <w:t>non può dunque che riprodursi, sia pure con caratteristiche almeno parzialmente diverse ogni volta</w:t>
      </w:r>
      <w:r w:rsidR="001F1A33">
        <w:t>, soprattutto se il futuro sarà caratterizzato, come prevedono alcune analisi economiche, da un lungo periodo di bassa crescita</w:t>
      </w:r>
      <w:r w:rsidR="00ED14F8">
        <w:t xml:space="preserve"> </w:t>
      </w:r>
      <w:r w:rsidR="001F1A33">
        <w:t>e da una stagnazione che anche l’innovazione tecnologica non riesce a superare</w:t>
      </w:r>
      <w:r w:rsidR="001F1A33">
        <w:rPr>
          <w:rStyle w:val="Rimandonotaapidipagina"/>
        </w:rPr>
        <w:footnoteReference w:id="29"/>
      </w:r>
      <w:r w:rsidR="001F1A33">
        <w:t>.</w:t>
      </w:r>
      <w:r w:rsidR="006D6B99">
        <w:t xml:space="preserve"> Per gli Stati, come per i mercati, sarà necessario definire e costruire nuovi ruoli</w:t>
      </w:r>
      <w:r w:rsidR="00E51B4D">
        <w:t>,</w:t>
      </w:r>
      <w:r w:rsidR="006D6B99">
        <w:t xml:space="preserve">  nuove capacità</w:t>
      </w:r>
      <w:r w:rsidR="00E51B4D">
        <w:t xml:space="preserve"> e nuovi modi di interazione</w:t>
      </w:r>
      <w:r w:rsidR="00ED14F8">
        <w:t>, sui quali la riflessione scientifica giuridica ed economica è appena cominciata</w:t>
      </w:r>
      <w:r w:rsidR="006D6B99">
        <w:t>.</w:t>
      </w:r>
    </w:p>
    <w:p w:rsidR="00476DA6" w:rsidRDefault="00476DA6"/>
    <w:p w:rsidR="009F5771" w:rsidRDefault="009F5771"/>
    <w:p w:rsidR="009B6EF8" w:rsidRDefault="009B6EF8"/>
    <w:sectPr w:rsidR="009B6EF8" w:rsidSect="005E4666">
      <w:footerReference w:type="default" r:id="rId9"/>
      <w:pgSz w:w="11906" w:h="16838"/>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AB" w:rsidRDefault="000D78AB" w:rsidP="00361946">
      <w:pPr>
        <w:spacing w:line="240" w:lineRule="auto"/>
      </w:pPr>
      <w:r>
        <w:separator/>
      </w:r>
    </w:p>
  </w:endnote>
  <w:endnote w:type="continuationSeparator" w:id="0">
    <w:p w:rsidR="000D78AB" w:rsidRDefault="000D78AB" w:rsidP="00361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713592"/>
      <w:docPartObj>
        <w:docPartGallery w:val="Page Numbers (Bottom of Page)"/>
        <w:docPartUnique/>
      </w:docPartObj>
    </w:sdtPr>
    <w:sdtEndPr/>
    <w:sdtContent>
      <w:p w:rsidR="00361946" w:rsidRDefault="00361946">
        <w:pPr>
          <w:pStyle w:val="Pidipagina"/>
          <w:jc w:val="right"/>
        </w:pPr>
        <w:r>
          <w:fldChar w:fldCharType="begin"/>
        </w:r>
        <w:r>
          <w:instrText>PAGE   \* MERGEFORMAT</w:instrText>
        </w:r>
        <w:r>
          <w:fldChar w:fldCharType="separate"/>
        </w:r>
        <w:r w:rsidR="00F444CE">
          <w:rPr>
            <w:noProof/>
          </w:rPr>
          <w:t>1</w:t>
        </w:r>
        <w:r>
          <w:fldChar w:fldCharType="end"/>
        </w:r>
      </w:p>
    </w:sdtContent>
  </w:sdt>
  <w:p w:rsidR="00361946" w:rsidRDefault="0036194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AB" w:rsidRDefault="000D78AB" w:rsidP="00361946">
      <w:pPr>
        <w:spacing w:line="240" w:lineRule="auto"/>
      </w:pPr>
      <w:r>
        <w:separator/>
      </w:r>
    </w:p>
  </w:footnote>
  <w:footnote w:type="continuationSeparator" w:id="0">
    <w:p w:rsidR="000D78AB" w:rsidRDefault="000D78AB" w:rsidP="00361946">
      <w:pPr>
        <w:spacing w:line="240" w:lineRule="auto"/>
      </w:pPr>
      <w:r>
        <w:continuationSeparator/>
      </w:r>
    </w:p>
  </w:footnote>
  <w:footnote w:id="1">
    <w:p w:rsidR="005F2ABC" w:rsidRPr="00BB1D0A" w:rsidRDefault="005F2ABC" w:rsidP="00BB1D0A">
      <w:pPr>
        <w:pStyle w:val="Testonotaapidipagina"/>
        <w:rPr>
          <w:rFonts w:cs="Times New Roman"/>
          <w:sz w:val="22"/>
          <w:szCs w:val="22"/>
          <w:lang w:val="en-US"/>
        </w:rPr>
      </w:pPr>
      <w:r w:rsidRPr="00BB1D0A">
        <w:rPr>
          <w:rStyle w:val="Rimandonotaapidipagina"/>
          <w:rFonts w:cs="Times New Roman"/>
          <w:sz w:val="22"/>
          <w:szCs w:val="22"/>
        </w:rPr>
        <w:footnoteRef/>
      </w:r>
      <w:r w:rsidRPr="00BB1D0A">
        <w:rPr>
          <w:rFonts w:cs="Times New Roman"/>
          <w:sz w:val="22"/>
          <w:szCs w:val="22"/>
        </w:rPr>
        <w:t xml:space="preserve"> G. Corso,</w:t>
      </w:r>
      <w:r w:rsidR="0083588B" w:rsidRPr="00BB1D0A">
        <w:rPr>
          <w:rFonts w:cs="Times New Roman"/>
          <w:sz w:val="22"/>
          <w:szCs w:val="22"/>
        </w:rPr>
        <w:t xml:space="preserve"> </w:t>
      </w:r>
      <w:r w:rsidR="0083588B" w:rsidRPr="00BB1D0A">
        <w:rPr>
          <w:rFonts w:cs="Times New Roman"/>
          <w:i/>
          <w:sz w:val="22"/>
          <w:szCs w:val="22"/>
        </w:rPr>
        <w:t>Tutela della concorrenza</w:t>
      </w:r>
      <w:r w:rsidR="0083588B" w:rsidRPr="00BB1D0A">
        <w:rPr>
          <w:rFonts w:cs="Times New Roman"/>
          <w:sz w:val="22"/>
          <w:szCs w:val="22"/>
        </w:rPr>
        <w:t xml:space="preserve">, in G. Corso e V. </w:t>
      </w:r>
      <w:proofErr w:type="spellStart"/>
      <w:r w:rsidR="0083588B" w:rsidRPr="00BB1D0A">
        <w:rPr>
          <w:rFonts w:cs="Times New Roman"/>
          <w:sz w:val="22"/>
          <w:szCs w:val="22"/>
        </w:rPr>
        <w:t>Lopilato</w:t>
      </w:r>
      <w:proofErr w:type="spellEnd"/>
      <w:r w:rsidR="0083588B" w:rsidRPr="00BB1D0A">
        <w:rPr>
          <w:rFonts w:cs="Times New Roman"/>
          <w:sz w:val="22"/>
          <w:szCs w:val="22"/>
        </w:rPr>
        <w:t xml:space="preserve">, </w:t>
      </w:r>
      <w:r w:rsidR="0083588B" w:rsidRPr="00BB1D0A">
        <w:rPr>
          <w:rFonts w:cs="Times New Roman"/>
          <w:i/>
          <w:sz w:val="22"/>
          <w:szCs w:val="22"/>
        </w:rPr>
        <w:t>Il diritto amministrativo dopo le riforme costituzionali</w:t>
      </w:r>
      <w:r w:rsidR="0083588B" w:rsidRPr="00BB1D0A">
        <w:rPr>
          <w:rFonts w:cs="Times New Roman"/>
          <w:sz w:val="22"/>
          <w:szCs w:val="22"/>
        </w:rPr>
        <w:t>, vo</w:t>
      </w:r>
      <w:r w:rsidR="00415FAA" w:rsidRPr="00BB1D0A">
        <w:rPr>
          <w:rFonts w:cs="Times New Roman"/>
          <w:sz w:val="22"/>
          <w:szCs w:val="22"/>
        </w:rPr>
        <w:t>l</w:t>
      </w:r>
      <w:r w:rsidR="0083588B" w:rsidRPr="00BB1D0A">
        <w:rPr>
          <w:rFonts w:cs="Times New Roman"/>
          <w:sz w:val="22"/>
          <w:szCs w:val="22"/>
        </w:rPr>
        <w:t xml:space="preserve">. </w:t>
      </w:r>
      <w:r w:rsidR="0083588B" w:rsidRPr="00BB1D0A">
        <w:rPr>
          <w:rFonts w:cs="Times New Roman"/>
          <w:sz w:val="22"/>
          <w:szCs w:val="22"/>
          <w:lang w:val="en-US"/>
        </w:rPr>
        <w:t>II, Milano, Giuffrè, p. 30.</w:t>
      </w:r>
    </w:p>
  </w:footnote>
  <w:footnote w:id="2">
    <w:p w:rsidR="00EE77A3" w:rsidRPr="00BB1D0A" w:rsidRDefault="00EE77A3" w:rsidP="00BB1D0A">
      <w:pPr>
        <w:spacing w:line="240" w:lineRule="auto"/>
        <w:rPr>
          <w:rFonts w:cs="Times New Roman"/>
          <w:sz w:val="22"/>
        </w:rPr>
      </w:pPr>
      <w:r w:rsidRPr="00BB1D0A">
        <w:rPr>
          <w:rStyle w:val="Rimandonotaapidipagina"/>
          <w:rFonts w:cs="Times New Roman"/>
          <w:sz w:val="22"/>
        </w:rPr>
        <w:footnoteRef/>
      </w:r>
      <w:r w:rsidR="005F2ABC" w:rsidRPr="00BB1D0A">
        <w:rPr>
          <w:rFonts w:cs="Times New Roman"/>
          <w:sz w:val="22"/>
          <w:lang w:val="en-US"/>
        </w:rPr>
        <w:t xml:space="preserve"> Come ha </w:t>
      </w:r>
      <w:proofErr w:type="spellStart"/>
      <w:r w:rsidR="005F2ABC" w:rsidRPr="00BB1D0A">
        <w:rPr>
          <w:rFonts w:cs="Times New Roman"/>
          <w:sz w:val="22"/>
          <w:lang w:val="en-US"/>
        </w:rPr>
        <w:t>scritto</w:t>
      </w:r>
      <w:proofErr w:type="spellEnd"/>
      <w:r w:rsidR="005F2ABC" w:rsidRPr="00BB1D0A">
        <w:rPr>
          <w:rFonts w:cs="Times New Roman"/>
          <w:sz w:val="22"/>
          <w:lang w:val="en-US"/>
        </w:rPr>
        <w:t xml:space="preserve"> D. </w:t>
      </w:r>
      <w:proofErr w:type="spellStart"/>
      <w:r w:rsidR="005F2ABC" w:rsidRPr="00BB1D0A">
        <w:rPr>
          <w:rFonts w:cs="Times New Roman"/>
          <w:sz w:val="22"/>
          <w:lang w:val="en-US"/>
        </w:rPr>
        <w:t>Rodrik</w:t>
      </w:r>
      <w:proofErr w:type="spellEnd"/>
      <w:r w:rsidR="005F2ABC" w:rsidRPr="00BB1D0A">
        <w:rPr>
          <w:rFonts w:cs="Times New Roman"/>
          <w:sz w:val="22"/>
          <w:lang w:val="en-US"/>
        </w:rPr>
        <w:t>: “</w:t>
      </w:r>
      <w:r w:rsidR="005F2ABC" w:rsidRPr="00BB1D0A">
        <w:rPr>
          <w:rFonts w:cs="Times New Roman"/>
          <w:i/>
          <w:sz w:val="22"/>
          <w:lang w:val="en-US"/>
        </w:rPr>
        <w:t xml:space="preserve">if you want markets to </w:t>
      </w:r>
      <w:proofErr w:type="spellStart"/>
      <w:r w:rsidR="005F2ABC" w:rsidRPr="00BB1D0A">
        <w:rPr>
          <w:rFonts w:cs="Times New Roman"/>
          <w:i/>
          <w:sz w:val="22"/>
          <w:lang w:val="en-US"/>
        </w:rPr>
        <w:t>expnd</w:t>
      </w:r>
      <w:proofErr w:type="spellEnd"/>
      <w:r w:rsidR="005F2ABC" w:rsidRPr="00BB1D0A">
        <w:rPr>
          <w:rFonts w:cs="Times New Roman"/>
          <w:i/>
          <w:sz w:val="22"/>
          <w:lang w:val="en-US"/>
        </w:rPr>
        <w:t>, you need government to do the same</w:t>
      </w:r>
      <w:r w:rsidR="005F2ABC" w:rsidRPr="00BB1D0A">
        <w:rPr>
          <w:rFonts w:cs="Times New Roman"/>
          <w:sz w:val="22"/>
          <w:lang w:val="en-US"/>
        </w:rPr>
        <w:t>”</w:t>
      </w:r>
      <w:r w:rsidR="0083588B" w:rsidRPr="00BB1D0A">
        <w:rPr>
          <w:rFonts w:cs="Times New Roman"/>
          <w:sz w:val="22"/>
          <w:lang w:val="en-US"/>
        </w:rPr>
        <w:t xml:space="preserve"> (D. </w:t>
      </w:r>
      <w:proofErr w:type="spellStart"/>
      <w:r w:rsidR="0083588B" w:rsidRPr="00BB1D0A">
        <w:rPr>
          <w:rFonts w:cs="Times New Roman"/>
          <w:sz w:val="22"/>
          <w:lang w:val="en-US"/>
        </w:rPr>
        <w:t>Rodrik</w:t>
      </w:r>
      <w:proofErr w:type="spellEnd"/>
      <w:r w:rsidR="0083588B" w:rsidRPr="00BB1D0A">
        <w:rPr>
          <w:rFonts w:cs="Times New Roman"/>
          <w:sz w:val="22"/>
          <w:lang w:val="en-US"/>
        </w:rPr>
        <w:t xml:space="preserve">, </w:t>
      </w:r>
      <w:r w:rsidR="0083588B" w:rsidRPr="00BB1D0A">
        <w:rPr>
          <w:rFonts w:cs="Times New Roman"/>
          <w:i/>
          <w:sz w:val="22"/>
          <w:lang w:val="en-US"/>
        </w:rPr>
        <w:t>The Globalization Paradox</w:t>
      </w:r>
      <w:r w:rsidR="0083588B" w:rsidRPr="00BB1D0A">
        <w:rPr>
          <w:rFonts w:cs="Times New Roman"/>
          <w:sz w:val="22"/>
          <w:lang w:val="en-US"/>
        </w:rPr>
        <w:t>, Oxford University Press, 2011, p. 18</w:t>
      </w:r>
      <w:r w:rsidR="00415FAA" w:rsidRPr="00BB1D0A">
        <w:rPr>
          <w:rFonts w:cs="Times New Roman"/>
          <w:sz w:val="22"/>
          <w:lang w:val="en-US"/>
        </w:rPr>
        <w:t>)</w:t>
      </w:r>
      <w:r w:rsidR="0083588B" w:rsidRPr="00BB1D0A">
        <w:rPr>
          <w:rFonts w:cs="Times New Roman"/>
          <w:sz w:val="22"/>
          <w:lang w:val="en-US"/>
        </w:rPr>
        <w:t xml:space="preserve">. </w:t>
      </w:r>
      <w:r w:rsidR="0083588B" w:rsidRPr="00BB1D0A">
        <w:rPr>
          <w:rFonts w:cs="Times New Roman"/>
          <w:sz w:val="22"/>
        </w:rPr>
        <w:t>Per una rilettura dell</w:t>
      </w:r>
      <w:r w:rsidR="002F5B11" w:rsidRPr="00BB1D0A">
        <w:rPr>
          <w:rFonts w:cs="Times New Roman"/>
          <w:sz w:val="22"/>
        </w:rPr>
        <w:t xml:space="preserve">o Stato imprenditore come soggetto che promuove l’innovazione  con politiche interventiste e investe in aree nelle quali il settore privato non investirebbe anche se avesse le risorse, soprattutto con riferimento all’esperienza americana, v. M. Mazzucato, </w:t>
      </w:r>
      <w:r w:rsidR="002F5B11" w:rsidRPr="00BB1D0A">
        <w:rPr>
          <w:rFonts w:cs="Times New Roman"/>
          <w:i/>
          <w:sz w:val="22"/>
        </w:rPr>
        <w:t xml:space="preserve">The </w:t>
      </w:r>
      <w:proofErr w:type="spellStart"/>
      <w:r w:rsidR="002F5B11" w:rsidRPr="00BB1D0A">
        <w:rPr>
          <w:rFonts w:cs="Times New Roman"/>
          <w:i/>
          <w:sz w:val="22"/>
        </w:rPr>
        <w:t>Entrepreneurial</w:t>
      </w:r>
      <w:proofErr w:type="spellEnd"/>
      <w:r w:rsidR="002F5B11" w:rsidRPr="00BB1D0A">
        <w:rPr>
          <w:rFonts w:cs="Times New Roman"/>
          <w:i/>
          <w:sz w:val="22"/>
        </w:rPr>
        <w:t xml:space="preserve"> State: </w:t>
      </w:r>
      <w:proofErr w:type="spellStart"/>
      <w:r w:rsidR="002F5B11" w:rsidRPr="00BB1D0A">
        <w:rPr>
          <w:rFonts w:cs="Times New Roman"/>
          <w:i/>
          <w:sz w:val="22"/>
        </w:rPr>
        <w:t>Debunking</w:t>
      </w:r>
      <w:proofErr w:type="spellEnd"/>
      <w:r w:rsidR="002F5B11" w:rsidRPr="00BB1D0A">
        <w:rPr>
          <w:rFonts w:cs="Times New Roman"/>
          <w:i/>
          <w:sz w:val="22"/>
        </w:rPr>
        <w:t xml:space="preserve"> Public vs. Private </w:t>
      </w:r>
      <w:proofErr w:type="spellStart"/>
      <w:r w:rsidR="002F5B11" w:rsidRPr="00BB1D0A">
        <w:rPr>
          <w:rFonts w:cs="Times New Roman"/>
          <w:i/>
          <w:sz w:val="22"/>
        </w:rPr>
        <w:t>Myths</w:t>
      </w:r>
      <w:proofErr w:type="spellEnd"/>
      <w:r w:rsidR="002F5B11" w:rsidRPr="00BB1D0A">
        <w:rPr>
          <w:rFonts w:cs="Times New Roman"/>
          <w:i/>
          <w:sz w:val="22"/>
        </w:rPr>
        <w:t xml:space="preserve"> in </w:t>
      </w:r>
      <w:proofErr w:type="spellStart"/>
      <w:r w:rsidR="002F5B11" w:rsidRPr="00BB1D0A">
        <w:rPr>
          <w:rFonts w:cs="Times New Roman"/>
          <w:i/>
          <w:sz w:val="22"/>
        </w:rPr>
        <w:t>Risk</w:t>
      </w:r>
      <w:proofErr w:type="spellEnd"/>
      <w:r w:rsidR="002F5B11" w:rsidRPr="00BB1D0A">
        <w:rPr>
          <w:rFonts w:cs="Times New Roman"/>
          <w:i/>
          <w:sz w:val="22"/>
        </w:rPr>
        <w:t xml:space="preserve"> and </w:t>
      </w:r>
      <w:proofErr w:type="spellStart"/>
      <w:r w:rsidR="002F5B11" w:rsidRPr="00BB1D0A">
        <w:rPr>
          <w:rFonts w:cs="Times New Roman"/>
          <w:i/>
          <w:sz w:val="22"/>
        </w:rPr>
        <w:t>Innovation</w:t>
      </w:r>
      <w:proofErr w:type="spellEnd"/>
      <w:r w:rsidR="002F5B11" w:rsidRPr="00BB1D0A">
        <w:rPr>
          <w:rFonts w:cs="Times New Roman"/>
          <w:sz w:val="22"/>
        </w:rPr>
        <w:t>, Anthem Press, Londra, 2013 (</w:t>
      </w:r>
      <w:proofErr w:type="spellStart"/>
      <w:r w:rsidR="002F5B11" w:rsidRPr="00BB1D0A">
        <w:rPr>
          <w:rFonts w:cs="Times New Roman"/>
          <w:sz w:val="22"/>
        </w:rPr>
        <w:t>trad</w:t>
      </w:r>
      <w:proofErr w:type="spellEnd"/>
      <w:r w:rsidR="002F5B11" w:rsidRPr="00BB1D0A">
        <w:rPr>
          <w:rFonts w:cs="Times New Roman"/>
          <w:sz w:val="22"/>
        </w:rPr>
        <w:t xml:space="preserve">. </w:t>
      </w:r>
      <w:proofErr w:type="spellStart"/>
      <w:r w:rsidR="002F5B11" w:rsidRPr="00BB1D0A">
        <w:rPr>
          <w:rFonts w:cs="Times New Roman"/>
          <w:sz w:val="22"/>
        </w:rPr>
        <w:t>it</w:t>
      </w:r>
      <w:proofErr w:type="spellEnd"/>
      <w:r w:rsidR="002F5B11" w:rsidRPr="00BB1D0A">
        <w:rPr>
          <w:rFonts w:cs="Times New Roman"/>
          <w:sz w:val="22"/>
        </w:rPr>
        <w:t xml:space="preserve">., </w:t>
      </w:r>
      <w:r w:rsidR="002F5B11" w:rsidRPr="00BB1D0A">
        <w:rPr>
          <w:rFonts w:cs="Times New Roman"/>
          <w:i/>
          <w:sz w:val="22"/>
        </w:rPr>
        <w:t>Lo Stato innovatore</w:t>
      </w:r>
      <w:r w:rsidR="002F5B11" w:rsidRPr="00BB1D0A">
        <w:rPr>
          <w:rFonts w:cs="Times New Roman"/>
          <w:sz w:val="22"/>
        </w:rPr>
        <w:t>, Laterza, 2015).</w:t>
      </w:r>
    </w:p>
  </w:footnote>
  <w:footnote w:id="3">
    <w:p w:rsidR="00EE77A3" w:rsidRPr="00BB1D0A" w:rsidRDefault="00EE77A3" w:rsidP="00BB1D0A">
      <w:pPr>
        <w:pStyle w:val="Testonotaapidipagina"/>
        <w:rPr>
          <w:rFonts w:cs="Times New Roman"/>
          <w:sz w:val="22"/>
          <w:szCs w:val="22"/>
        </w:rPr>
      </w:pPr>
      <w:r w:rsidRPr="00BB1D0A">
        <w:rPr>
          <w:rStyle w:val="Rimandonotaapidipagina"/>
          <w:rFonts w:cs="Times New Roman"/>
          <w:sz w:val="22"/>
          <w:szCs w:val="22"/>
        </w:rPr>
        <w:footnoteRef/>
      </w:r>
      <w:r w:rsidR="005F2ABC" w:rsidRPr="00BB1D0A">
        <w:rPr>
          <w:rFonts w:cs="Times New Roman"/>
          <w:sz w:val="22"/>
          <w:szCs w:val="22"/>
        </w:rPr>
        <w:t xml:space="preserve"> G.</w:t>
      </w:r>
      <w:r w:rsidRPr="00BB1D0A">
        <w:rPr>
          <w:rFonts w:cs="Times New Roman"/>
          <w:sz w:val="22"/>
          <w:szCs w:val="22"/>
        </w:rPr>
        <w:t xml:space="preserve"> Corso</w:t>
      </w:r>
      <w:r w:rsidR="002F5B11" w:rsidRPr="00BB1D0A">
        <w:rPr>
          <w:rFonts w:cs="Times New Roman"/>
          <w:sz w:val="22"/>
          <w:szCs w:val="22"/>
        </w:rPr>
        <w:t xml:space="preserve">, </w:t>
      </w:r>
      <w:r w:rsidR="002F5B11" w:rsidRPr="00BB1D0A">
        <w:rPr>
          <w:rFonts w:cs="Times New Roman"/>
          <w:i/>
          <w:sz w:val="22"/>
          <w:szCs w:val="22"/>
        </w:rPr>
        <w:t>I poteri pubblici e la globalizzazione</w:t>
      </w:r>
      <w:r w:rsidR="002F5B11" w:rsidRPr="00BB1D0A">
        <w:rPr>
          <w:rFonts w:cs="Times New Roman"/>
          <w:sz w:val="22"/>
          <w:szCs w:val="22"/>
        </w:rPr>
        <w:t xml:space="preserve">, relazione al Convegno </w:t>
      </w:r>
      <w:proofErr w:type="spellStart"/>
      <w:r w:rsidR="00415FAA" w:rsidRPr="00BB1D0A">
        <w:rPr>
          <w:rFonts w:cs="Times New Roman"/>
          <w:sz w:val="22"/>
          <w:szCs w:val="22"/>
        </w:rPr>
        <w:t>Sanmartino</w:t>
      </w:r>
      <w:proofErr w:type="spellEnd"/>
      <w:r w:rsidR="00415FAA" w:rsidRPr="00BB1D0A">
        <w:rPr>
          <w:rFonts w:cs="Times New Roman"/>
          <w:sz w:val="22"/>
          <w:szCs w:val="22"/>
        </w:rPr>
        <w:t xml:space="preserve"> </w:t>
      </w:r>
      <w:r w:rsidR="002F5B11" w:rsidRPr="00BB1D0A">
        <w:rPr>
          <w:rFonts w:cs="Times New Roman"/>
          <w:sz w:val="22"/>
          <w:szCs w:val="22"/>
        </w:rPr>
        <w:t>di Pescara del 12 aprile 2002, dattiloscritto.</w:t>
      </w:r>
    </w:p>
  </w:footnote>
  <w:footnote w:id="4">
    <w:p w:rsidR="00830733" w:rsidRPr="00BB1D0A" w:rsidRDefault="00830733" w:rsidP="00BB1D0A">
      <w:pPr>
        <w:pStyle w:val="Testonotaapidipagina"/>
        <w:rPr>
          <w:rFonts w:cs="Times New Roman"/>
          <w:sz w:val="22"/>
          <w:szCs w:val="22"/>
        </w:rPr>
      </w:pPr>
      <w:r w:rsidRPr="00BB1D0A">
        <w:rPr>
          <w:rStyle w:val="Rimandonotaapidipagina"/>
          <w:rFonts w:cs="Times New Roman"/>
          <w:sz w:val="22"/>
          <w:szCs w:val="22"/>
        </w:rPr>
        <w:footnoteRef/>
      </w:r>
      <w:r w:rsidRPr="00BB1D0A">
        <w:rPr>
          <w:rFonts w:cs="Times New Roman"/>
          <w:sz w:val="22"/>
          <w:szCs w:val="22"/>
        </w:rPr>
        <w:t xml:space="preserve"> </w:t>
      </w:r>
      <w:r w:rsidR="002F5B11" w:rsidRPr="00BB1D0A">
        <w:rPr>
          <w:rFonts w:cs="Times New Roman"/>
          <w:sz w:val="22"/>
          <w:szCs w:val="22"/>
        </w:rPr>
        <w:t xml:space="preserve">Con specifico riferimento all’esperienza italiana e europea v. </w:t>
      </w:r>
      <w:r w:rsidRPr="00BB1D0A">
        <w:rPr>
          <w:rFonts w:cs="Times New Roman"/>
          <w:sz w:val="22"/>
          <w:szCs w:val="22"/>
        </w:rPr>
        <w:t xml:space="preserve">L. Torchia, </w:t>
      </w:r>
      <w:r w:rsidRPr="00BB1D0A">
        <w:rPr>
          <w:rFonts w:cs="Times New Roman"/>
          <w:i/>
          <w:sz w:val="22"/>
          <w:szCs w:val="22"/>
        </w:rPr>
        <w:t>Il governo delle differenze</w:t>
      </w:r>
      <w:r w:rsidR="00E51B4D" w:rsidRPr="00BB1D0A">
        <w:rPr>
          <w:i/>
          <w:iCs/>
          <w:sz w:val="22"/>
          <w:szCs w:val="22"/>
        </w:rPr>
        <w:t>. Il principio di equivalenza nell’ordinamento europeo</w:t>
      </w:r>
      <w:r w:rsidR="00E51B4D" w:rsidRPr="00BB1D0A">
        <w:rPr>
          <w:sz w:val="22"/>
          <w:szCs w:val="22"/>
        </w:rPr>
        <w:t>, Bologna, Il Mulino, 2006</w:t>
      </w:r>
      <w:r w:rsidRPr="00BB1D0A">
        <w:rPr>
          <w:rFonts w:cs="Times New Roman"/>
          <w:sz w:val="22"/>
          <w:szCs w:val="22"/>
        </w:rPr>
        <w:t>; A. Zoppini</w:t>
      </w:r>
      <w:r w:rsidR="002F5B11" w:rsidRPr="00BB1D0A">
        <w:rPr>
          <w:rFonts w:cs="Times New Roman"/>
          <w:sz w:val="22"/>
          <w:szCs w:val="22"/>
        </w:rPr>
        <w:t xml:space="preserve"> (a cura di)</w:t>
      </w:r>
      <w:r w:rsidRPr="00BB1D0A">
        <w:rPr>
          <w:rFonts w:cs="Times New Roman"/>
          <w:sz w:val="22"/>
          <w:szCs w:val="22"/>
        </w:rPr>
        <w:t xml:space="preserve">, </w:t>
      </w:r>
      <w:r w:rsidR="002F5B11" w:rsidRPr="00BB1D0A">
        <w:rPr>
          <w:rFonts w:cs="Times New Roman"/>
          <w:i/>
          <w:sz w:val="22"/>
          <w:szCs w:val="22"/>
        </w:rPr>
        <w:t>L</w:t>
      </w:r>
      <w:r w:rsidRPr="00BB1D0A">
        <w:rPr>
          <w:rFonts w:cs="Times New Roman"/>
          <w:i/>
          <w:sz w:val="22"/>
          <w:szCs w:val="22"/>
        </w:rPr>
        <w:t>a concorrenza fra ordinamenti</w:t>
      </w:r>
      <w:r w:rsidR="002F5B11" w:rsidRPr="00BB1D0A">
        <w:rPr>
          <w:rFonts w:cs="Times New Roman"/>
          <w:i/>
          <w:sz w:val="22"/>
          <w:szCs w:val="22"/>
        </w:rPr>
        <w:t xml:space="preserve"> giuridici</w:t>
      </w:r>
      <w:r w:rsidR="002F5B11" w:rsidRPr="00BB1D0A">
        <w:rPr>
          <w:rFonts w:cs="Times New Roman"/>
          <w:sz w:val="22"/>
          <w:szCs w:val="22"/>
        </w:rPr>
        <w:t>, Laterza, 2004</w:t>
      </w:r>
      <w:r w:rsidRPr="00BB1D0A">
        <w:rPr>
          <w:rFonts w:cs="Times New Roman"/>
          <w:sz w:val="22"/>
          <w:szCs w:val="22"/>
        </w:rPr>
        <w:t xml:space="preserve">; </w:t>
      </w:r>
      <w:r w:rsidR="002F5B11" w:rsidRPr="00BB1D0A">
        <w:rPr>
          <w:rFonts w:cs="Times New Roman"/>
          <w:sz w:val="22"/>
          <w:szCs w:val="22"/>
        </w:rPr>
        <w:t xml:space="preserve">F. </w:t>
      </w:r>
      <w:r w:rsidRPr="00BB1D0A">
        <w:rPr>
          <w:rFonts w:cs="Times New Roman"/>
          <w:sz w:val="22"/>
          <w:szCs w:val="22"/>
        </w:rPr>
        <w:t>Giglioni</w:t>
      </w:r>
      <w:r w:rsidR="002F5B11" w:rsidRPr="00BB1D0A">
        <w:rPr>
          <w:rFonts w:cs="Times New Roman"/>
          <w:sz w:val="22"/>
          <w:szCs w:val="22"/>
        </w:rPr>
        <w:t xml:space="preserve">, </w:t>
      </w:r>
      <w:r w:rsidR="002F5B11" w:rsidRPr="00BB1D0A">
        <w:rPr>
          <w:rFonts w:cs="Times New Roman"/>
          <w:i/>
          <w:sz w:val="22"/>
          <w:szCs w:val="22"/>
        </w:rPr>
        <w:t>Governare per differenza. Metodi europei di coordinamento</w:t>
      </w:r>
      <w:r w:rsidR="002F5B11" w:rsidRPr="00BB1D0A">
        <w:rPr>
          <w:rFonts w:cs="Times New Roman"/>
          <w:sz w:val="22"/>
          <w:szCs w:val="22"/>
        </w:rPr>
        <w:t>, Edizioni ETS, 2012</w:t>
      </w:r>
      <w:r w:rsidRPr="00BB1D0A">
        <w:rPr>
          <w:rFonts w:cs="Times New Roman"/>
          <w:sz w:val="22"/>
          <w:szCs w:val="22"/>
        </w:rPr>
        <w:t xml:space="preserve">; </w:t>
      </w:r>
      <w:r w:rsidR="00AE0ED2" w:rsidRPr="00BB1D0A">
        <w:rPr>
          <w:rFonts w:cs="Times New Roman"/>
          <w:sz w:val="22"/>
          <w:szCs w:val="22"/>
        </w:rPr>
        <w:t xml:space="preserve">con riferimento ai sistemi regolatori globali v. </w:t>
      </w:r>
      <w:r w:rsidR="00AE0ED2" w:rsidRPr="00BB1D0A">
        <w:rPr>
          <w:rFonts w:cs="Times New Roman"/>
          <w:i/>
          <w:sz w:val="22"/>
          <w:szCs w:val="22"/>
        </w:rPr>
        <w:t xml:space="preserve">Global </w:t>
      </w:r>
      <w:proofErr w:type="spellStart"/>
      <w:r w:rsidR="00AE0ED2" w:rsidRPr="00BB1D0A">
        <w:rPr>
          <w:rFonts w:cs="Times New Roman"/>
          <w:i/>
          <w:sz w:val="22"/>
          <w:szCs w:val="22"/>
        </w:rPr>
        <w:t>Administrative</w:t>
      </w:r>
      <w:proofErr w:type="spellEnd"/>
      <w:r w:rsidR="00AE0ED2" w:rsidRPr="00BB1D0A">
        <w:rPr>
          <w:rFonts w:cs="Times New Roman"/>
          <w:i/>
          <w:sz w:val="22"/>
          <w:szCs w:val="22"/>
        </w:rPr>
        <w:t xml:space="preserve"> Law: The </w:t>
      </w:r>
      <w:proofErr w:type="spellStart"/>
      <w:r w:rsidR="00AE0ED2" w:rsidRPr="00BB1D0A">
        <w:rPr>
          <w:rFonts w:cs="Times New Roman"/>
          <w:i/>
          <w:sz w:val="22"/>
          <w:szCs w:val="22"/>
        </w:rPr>
        <w:t>Casebook</w:t>
      </w:r>
      <w:proofErr w:type="spellEnd"/>
      <w:r w:rsidR="00AE0ED2" w:rsidRPr="00BB1D0A">
        <w:rPr>
          <w:rFonts w:cs="Times New Roman"/>
          <w:sz w:val="22"/>
          <w:szCs w:val="22"/>
        </w:rPr>
        <w:t xml:space="preserve">,  a cura di S. Cassese, B. Carotti, L. Casini, E. Cavalieri, E. </w:t>
      </w:r>
      <w:proofErr w:type="spellStart"/>
      <w:r w:rsidR="00AE0ED2" w:rsidRPr="00BB1D0A">
        <w:rPr>
          <w:rFonts w:cs="Times New Roman"/>
          <w:sz w:val="22"/>
          <w:szCs w:val="22"/>
        </w:rPr>
        <w:t>MacDonald</w:t>
      </w:r>
      <w:proofErr w:type="spellEnd"/>
      <w:r w:rsidR="00AE0ED2" w:rsidRPr="00BB1D0A">
        <w:rPr>
          <w:rFonts w:cs="Times New Roman"/>
          <w:sz w:val="22"/>
          <w:szCs w:val="22"/>
        </w:rPr>
        <w:t>, con la collaborazione di M. Macchia, M. Savino, 2012.</w:t>
      </w:r>
    </w:p>
  </w:footnote>
  <w:footnote w:id="5">
    <w:p w:rsidR="00CD59AF" w:rsidRPr="00BB1D0A" w:rsidRDefault="00CD59AF" w:rsidP="00BB1D0A">
      <w:pPr>
        <w:pStyle w:val="Testonotaapidipagina"/>
        <w:rPr>
          <w:rFonts w:cs="Times New Roman"/>
          <w:sz w:val="22"/>
          <w:szCs w:val="22"/>
        </w:rPr>
      </w:pPr>
      <w:r w:rsidRPr="00BB1D0A">
        <w:rPr>
          <w:rStyle w:val="Rimandonotaapidipagina"/>
          <w:rFonts w:cs="Times New Roman"/>
          <w:sz w:val="22"/>
          <w:szCs w:val="22"/>
        </w:rPr>
        <w:footnoteRef/>
      </w:r>
      <w:r w:rsidRPr="00BB1D0A">
        <w:rPr>
          <w:rFonts w:cs="Times New Roman"/>
          <w:sz w:val="22"/>
          <w:szCs w:val="22"/>
        </w:rPr>
        <w:t xml:space="preserve"> V. M. D’Alberti, </w:t>
      </w:r>
      <w:r w:rsidRPr="00BB1D0A">
        <w:rPr>
          <w:rFonts w:cs="Times New Roman"/>
          <w:i/>
          <w:sz w:val="22"/>
          <w:szCs w:val="22"/>
        </w:rPr>
        <w:t>Poteri pubblici, mercati e globalizzazione</w:t>
      </w:r>
      <w:r w:rsidRPr="00BB1D0A">
        <w:rPr>
          <w:rFonts w:cs="Times New Roman"/>
          <w:sz w:val="22"/>
          <w:szCs w:val="22"/>
        </w:rPr>
        <w:t xml:space="preserve">, Bologna, Il Mulino, </w:t>
      </w:r>
      <w:r w:rsidR="0028581A" w:rsidRPr="00BB1D0A">
        <w:rPr>
          <w:rFonts w:cs="Times New Roman"/>
          <w:sz w:val="22"/>
          <w:szCs w:val="22"/>
        </w:rPr>
        <w:t>2008.</w:t>
      </w:r>
    </w:p>
  </w:footnote>
  <w:footnote w:id="6">
    <w:p w:rsidR="00F541FE" w:rsidRPr="00BB1D0A" w:rsidRDefault="00F541FE" w:rsidP="00BB1D0A">
      <w:pPr>
        <w:pStyle w:val="Testonotaapidipagina"/>
        <w:rPr>
          <w:rFonts w:cs="Times New Roman"/>
          <w:sz w:val="22"/>
          <w:szCs w:val="22"/>
        </w:rPr>
      </w:pPr>
      <w:r w:rsidRPr="00BB1D0A">
        <w:rPr>
          <w:rStyle w:val="Rimandonotaapidipagina"/>
          <w:rFonts w:cs="Times New Roman"/>
          <w:sz w:val="22"/>
          <w:szCs w:val="22"/>
        </w:rPr>
        <w:footnoteRef/>
      </w:r>
      <w:r w:rsidRPr="00BB1D0A">
        <w:rPr>
          <w:rFonts w:cs="Times New Roman"/>
          <w:sz w:val="22"/>
          <w:szCs w:val="22"/>
          <w:lang w:val="en-US"/>
        </w:rPr>
        <w:t xml:space="preserve"> </w:t>
      </w:r>
      <w:r w:rsidR="0028581A" w:rsidRPr="00BB1D0A">
        <w:rPr>
          <w:rFonts w:cs="Times New Roman"/>
          <w:sz w:val="22"/>
          <w:szCs w:val="22"/>
          <w:lang w:val="en-US"/>
        </w:rPr>
        <w:t xml:space="preserve">V. N. </w:t>
      </w:r>
      <w:proofErr w:type="spellStart"/>
      <w:r w:rsidR="00827E2E" w:rsidRPr="00BB1D0A">
        <w:rPr>
          <w:rFonts w:cs="Times New Roman"/>
          <w:sz w:val="22"/>
          <w:szCs w:val="22"/>
          <w:lang w:val="en-US"/>
        </w:rPr>
        <w:t>Wapsho</w:t>
      </w:r>
      <w:r w:rsidR="0028581A" w:rsidRPr="00BB1D0A">
        <w:rPr>
          <w:rFonts w:cs="Times New Roman"/>
          <w:sz w:val="22"/>
          <w:szCs w:val="22"/>
          <w:lang w:val="en-US"/>
        </w:rPr>
        <w:t>t</w:t>
      </w:r>
      <w:r w:rsidR="00827E2E" w:rsidRPr="00BB1D0A">
        <w:rPr>
          <w:rFonts w:cs="Times New Roman"/>
          <w:sz w:val="22"/>
          <w:szCs w:val="22"/>
          <w:lang w:val="en-US"/>
        </w:rPr>
        <w:t>t</w:t>
      </w:r>
      <w:proofErr w:type="spellEnd"/>
      <w:r w:rsidR="00827E2E" w:rsidRPr="00BB1D0A">
        <w:rPr>
          <w:rFonts w:cs="Times New Roman"/>
          <w:sz w:val="22"/>
          <w:szCs w:val="22"/>
          <w:lang w:val="en-US"/>
        </w:rPr>
        <w:t xml:space="preserve">, </w:t>
      </w:r>
      <w:r w:rsidR="0028581A" w:rsidRPr="00BB1D0A">
        <w:rPr>
          <w:rFonts w:cs="Times New Roman"/>
          <w:i/>
          <w:sz w:val="22"/>
          <w:szCs w:val="22"/>
          <w:lang w:val="en-US"/>
        </w:rPr>
        <w:t>Keynes Hayek. The Clash that Defined Modern Economics</w:t>
      </w:r>
      <w:r w:rsidR="0028581A" w:rsidRPr="00BB1D0A">
        <w:rPr>
          <w:rFonts w:cs="Times New Roman"/>
          <w:sz w:val="22"/>
          <w:szCs w:val="22"/>
          <w:lang w:val="en-US"/>
        </w:rPr>
        <w:t xml:space="preserve">, W.W. Norton and Company, </w:t>
      </w:r>
      <w:r w:rsidR="00344670" w:rsidRPr="00BB1D0A">
        <w:rPr>
          <w:rFonts w:cs="Times New Roman"/>
          <w:sz w:val="22"/>
          <w:szCs w:val="22"/>
          <w:lang w:val="en-US"/>
        </w:rPr>
        <w:t>2012;</w:t>
      </w:r>
      <w:r w:rsidR="0028581A" w:rsidRPr="00BB1D0A">
        <w:rPr>
          <w:rFonts w:cs="Times New Roman"/>
          <w:sz w:val="22"/>
          <w:szCs w:val="22"/>
          <w:lang w:val="en-US"/>
        </w:rPr>
        <w:t xml:space="preserve"> </w:t>
      </w:r>
      <w:r w:rsidR="00344670" w:rsidRPr="00BB1D0A">
        <w:rPr>
          <w:rFonts w:cs="Times New Roman"/>
          <w:sz w:val="22"/>
          <w:szCs w:val="22"/>
          <w:lang w:val="en-US"/>
        </w:rPr>
        <w:t xml:space="preserve">B. </w:t>
      </w:r>
      <w:proofErr w:type="spellStart"/>
      <w:r w:rsidR="00344670" w:rsidRPr="00BB1D0A">
        <w:rPr>
          <w:rFonts w:cs="Times New Roman"/>
          <w:sz w:val="22"/>
          <w:szCs w:val="22"/>
          <w:lang w:val="en-US"/>
        </w:rPr>
        <w:t>Eichengreen</w:t>
      </w:r>
      <w:proofErr w:type="spellEnd"/>
      <w:r w:rsidR="00344670" w:rsidRPr="00BB1D0A">
        <w:rPr>
          <w:rFonts w:cs="Times New Roman"/>
          <w:sz w:val="22"/>
          <w:szCs w:val="22"/>
          <w:lang w:val="en-US"/>
        </w:rPr>
        <w:t>, Hall of Mirrors: The Great Depression, The Great Recession, and the Uses</w:t>
      </w:r>
      <w:r w:rsidR="00415FAA" w:rsidRPr="00BB1D0A">
        <w:rPr>
          <w:rFonts w:cs="Times New Roman"/>
          <w:sz w:val="22"/>
          <w:szCs w:val="22"/>
          <w:lang w:val="en-US"/>
        </w:rPr>
        <w:t xml:space="preserve"> </w:t>
      </w:r>
      <w:r w:rsidR="00344670" w:rsidRPr="00BB1D0A">
        <w:rPr>
          <w:rFonts w:cs="Times New Roman"/>
          <w:sz w:val="22"/>
          <w:szCs w:val="22"/>
          <w:lang w:val="en-US"/>
        </w:rPr>
        <w:t>and Misuses</w:t>
      </w:r>
      <w:r w:rsidR="00415FAA" w:rsidRPr="00BB1D0A">
        <w:rPr>
          <w:rFonts w:cs="Times New Roman"/>
          <w:sz w:val="22"/>
          <w:szCs w:val="22"/>
          <w:lang w:val="en-US"/>
        </w:rPr>
        <w:t xml:space="preserve"> </w:t>
      </w:r>
      <w:r w:rsidR="00344670" w:rsidRPr="00BB1D0A">
        <w:rPr>
          <w:rFonts w:cs="Times New Roman"/>
          <w:sz w:val="22"/>
          <w:szCs w:val="22"/>
          <w:lang w:val="en-US"/>
        </w:rPr>
        <w:t>of History, Oxford University Press, 2015</w:t>
      </w:r>
      <w:r w:rsidR="00210382" w:rsidRPr="00BB1D0A">
        <w:rPr>
          <w:rFonts w:cs="Times New Roman"/>
          <w:sz w:val="22"/>
          <w:szCs w:val="22"/>
          <w:lang w:val="en-US"/>
        </w:rPr>
        <w:t xml:space="preserve">: G. Napolitano (a </w:t>
      </w:r>
      <w:proofErr w:type="spellStart"/>
      <w:r w:rsidR="00210382" w:rsidRPr="00BB1D0A">
        <w:rPr>
          <w:rFonts w:cs="Times New Roman"/>
          <w:sz w:val="22"/>
          <w:szCs w:val="22"/>
          <w:lang w:val="en-US"/>
        </w:rPr>
        <w:t>cura</w:t>
      </w:r>
      <w:proofErr w:type="spellEnd"/>
      <w:r w:rsidR="00210382" w:rsidRPr="00BB1D0A">
        <w:rPr>
          <w:rFonts w:cs="Times New Roman"/>
          <w:sz w:val="22"/>
          <w:szCs w:val="22"/>
          <w:lang w:val="en-US"/>
        </w:rPr>
        <w:t xml:space="preserve"> di), </w:t>
      </w:r>
      <w:proofErr w:type="spellStart"/>
      <w:r w:rsidR="00210382" w:rsidRPr="00BB1D0A">
        <w:rPr>
          <w:rFonts w:cs="Times New Roman"/>
          <w:i/>
          <w:sz w:val="22"/>
          <w:szCs w:val="22"/>
          <w:lang w:val="en-US"/>
        </w:rPr>
        <w:t>Uscire</w:t>
      </w:r>
      <w:proofErr w:type="spellEnd"/>
      <w:r w:rsidR="00210382" w:rsidRPr="00BB1D0A">
        <w:rPr>
          <w:rFonts w:cs="Times New Roman"/>
          <w:i/>
          <w:sz w:val="22"/>
          <w:szCs w:val="22"/>
          <w:lang w:val="en-US"/>
        </w:rPr>
        <w:t xml:space="preserve"> </w:t>
      </w:r>
      <w:proofErr w:type="spellStart"/>
      <w:r w:rsidR="00210382" w:rsidRPr="00BB1D0A">
        <w:rPr>
          <w:rFonts w:cs="Times New Roman"/>
          <w:i/>
          <w:sz w:val="22"/>
          <w:szCs w:val="22"/>
          <w:lang w:val="en-US"/>
        </w:rPr>
        <w:t>dalla</w:t>
      </w:r>
      <w:proofErr w:type="spellEnd"/>
      <w:r w:rsidR="00210382" w:rsidRPr="00BB1D0A">
        <w:rPr>
          <w:rFonts w:cs="Times New Roman"/>
          <w:i/>
          <w:sz w:val="22"/>
          <w:szCs w:val="22"/>
          <w:lang w:val="en-US"/>
        </w:rPr>
        <w:t xml:space="preserve"> </w:t>
      </w:r>
      <w:proofErr w:type="spellStart"/>
      <w:r w:rsidR="00210382" w:rsidRPr="00BB1D0A">
        <w:rPr>
          <w:rFonts w:cs="Times New Roman"/>
          <w:i/>
          <w:sz w:val="22"/>
          <w:szCs w:val="22"/>
          <w:lang w:val="en-US"/>
        </w:rPr>
        <w:t>crisi</w:t>
      </w:r>
      <w:proofErr w:type="spellEnd"/>
      <w:r w:rsidR="00210382" w:rsidRPr="00BB1D0A">
        <w:rPr>
          <w:rFonts w:cs="Times New Roman"/>
          <w:i/>
          <w:sz w:val="22"/>
          <w:szCs w:val="22"/>
          <w:lang w:val="en-US"/>
        </w:rPr>
        <w:t xml:space="preserve">. </w:t>
      </w:r>
      <w:r w:rsidR="00210382" w:rsidRPr="00BB1D0A">
        <w:rPr>
          <w:rFonts w:cs="Times New Roman"/>
          <w:i/>
          <w:sz w:val="22"/>
          <w:szCs w:val="22"/>
        </w:rPr>
        <w:t>Politiche pubbliche e trasformazioni istituzionali</w:t>
      </w:r>
      <w:r w:rsidR="00210382" w:rsidRPr="00BB1D0A">
        <w:rPr>
          <w:rFonts w:cs="Times New Roman"/>
          <w:sz w:val="22"/>
          <w:szCs w:val="22"/>
        </w:rPr>
        <w:t>, Bologna, il Mulino, 2012.</w:t>
      </w:r>
    </w:p>
  </w:footnote>
  <w:footnote w:id="7">
    <w:p w:rsidR="00943552" w:rsidRPr="00BB1D0A" w:rsidRDefault="00943552" w:rsidP="00BB1D0A">
      <w:pPr>
        <w:spacing w:line="240" w:lineRule="auto"/>
        <w:rPr>
          <w:rFonts w:cs="Times New Roman"/>
          <w:i/>
          <w:sz w:val="22"/>
          <w:lang w:val="en-US"/>
        </w:rPr>
      </w:pPr>
      <w:r w:rsidRPr="00BB1D0A">
        <w:rPr>
          <w:rStyle w:val="Rimandonotaapidipagina"/>
          <w:rFonts w:cs="Times New Roman"/>
          <w:sz w:val="22"/>
        </w:rPr>
        <w:footnoteRef/>
      </w:r>
      <w:r w:rsidR="00344670" w:rsidRPr="00BB1D0A">
        <w:rPr>
          <w:rFonts w:cs="Times New Roman"/>
          <w:sz w:val="22"/>
        </w:rPr>
        <w:t xml:space="preserve"> V.</w:t>
      </w:r>
      <w:r w:rsidRPr="00BB1D0A">
        <w:rPr>
          <w:rFonts w:cs="Times New Roman"/>
          <w:sz w:val="22"/>
        </w:rPr>
        <w:t xml:space="preserve"> G. Napolitano</w:t>
      </w:r>
      <w:r w:rsidR="00344670" w:rsidRPr="00BB1D0A">
        <w:rPr>
          <w:rFonts w:cs="Times New Roman"/>
          <w:sz w:val="22"/>
        </w:rPr>
        <w:t xml:space="preserve">, </w:t>
      </w:r>
      <w:r w:rsidR="00344670" w:rsidRPr="00BB1D0A">
        <w:rPr>
          <w:rFonts w:cs="Times New Roman"/>
          <w:i/>
          <w:sz w:val="22"/>
        </w:rPr>
        <w:t>Il nuovo Stato salvatore: strumenti di intervento e assetti istituzionali</w:t>
      </w:r>
      <w:r w:rsidR="00344670" w:rsidRPr="00BB1D0A">
        <w:rPr>
          <w:rFonts w:cs="Times New Roman"/>
          <w:sz w:val="22"/>
        </w:rPr>
        <w:t xml:space="preserve">, in </w:t>
      </w:r>
      <w:proofErr w:type="spellStart"/>
      <w:r w:rsidR="00344670" w:rsidRPr="00BB1D0A">
        <w:rPr>
          <w:rFonts w:cs="Times New Roman"/>
          <w:i/>
          <w:sz w:val="22"/>
        </w:rPr>
        <w:t>Giorn</w:t>
      </w:r>
      <w:proofErr w:type="spellEnd"/>
      <w:r w:rsidR="00344670" w:rsidRPr="00BB1D0A">
        <w:rPr>
          <w:rFonts w:cs="Times New Roman"/>
          <w:i/>
          <w:sz w:val="22"/>
        </w:rPr>
        <w:t xml:space="preserve">. dir. </w:t>
      </w:r>
      <w:proofErr w:type="spellStart"/>
      <w:r w:rsidR="00344670" w:rsidRPr="00BB1D0A">
        <w:rPr>
          <w:rFonts w:cs="Times New Roman"/>
          <w:i/>
          <w:sz w:val="22"/>
        </w:rPr>
        <w:t>amm</w:t>
      </w:r>
      <w:proofErr w:type="spellEnd"/>
      <w:r w:rsidR="00344670" w:rsidRPr="00BB1D0A">
        <w:rPr>
          <w:rFonts w:cs="Times New Roman"/>
          <w:sz w:val="22"/>
        </w:rPr>
        <w:t xml:space="preserve">., 2008, p. 1083 ss.; Id. </w:t>
      </w:r>
      <w:r w:rsidR="00344670" w:rsidRPr="00BB1D0A">
        <w:rPr>
          <w:rFonts w:cs="Times New Roman"/>
          <w:i/>
          <w:sz w:val="22"/>
          <w:lang w:val="en-US"/>
        </w:rPr>
        <w:t>The Role of the State in (and after) the Financial Crisis: New Challenges for Administrative Law</w:t>
      </w:r>
      <w:r w:rsidR="00344670" w:rsidRPr="00BB1D0A">
        <w:rPr>
          <w:rFonts w:cs="Times New Roman"/>
          <w:sz w:val="22"/>
          <w:lang w:val="en-US"/>
        </w:rPr>
        <w:t xml:space="preserve">, in P. </w:t>
      </w:r>
      <w:proofErr w:type="spellStart"/>
      <w:r w:rsidR="00344670" w:rsidRPr="00BB1D0A">
        <w:rPr>
          <w:rFonts w:cs="Times New Roman"/>
          <w:sz w:val="22"/>
          <w:lang w:val="en-US"/>
        </w:rPr>
        <w:t>Lindseth</w:t>
      </w:r>
      <w:proofErr w:type="spellEnd"/>
      <w:r w:rsidR="00344670" w:rsidRPr="00BB1D0A">
        <w:rPr>
          <w:rFonts w:cs="Times New Roman"/>
          <w:sz w:val="22"/>
          <w:lang w:val="en-US"/>
        </w:rPr>
        <w:t xml:space="preserve"> e S. Rose-Ackerman (a </w:t>
      </w:r>
      <w:proofErr w:type="spellStart"/>
      <w:r w:rsidR="00344670" w:rsidRPr="00BB1D0A">
        <w:rPr>
          <w:rFonts w:cs="Times New Roman"/>
          <w:sz w:val="22"/>
          <w:lang w:val="en-US"/>
        </w:rPr>
        <w:t>cura</w:t>
      </w:r>
      <w:proofErr w:type="spellEnd"/>
      <w:r w:rsidR="00344670" w:rsidRPr="00BB1D0A">
        <w:rPr>
          <w:rFonts w:cs="Times New Roman"/>
          <w:sz w:val="22"/>
          <w:lang w:val="en-US"/>
        </w:rPr>
        <w:t xml:space="preserve"> di), </w:t>
      </w:r>
      <w:r w:rsidR="00344670" w:rsidRPr="00BB1D0A">
        <w:rPr>
          <w:rFonts w:cs="Times New Roman"/>
          <w:i/>
          <w:sz w:val="22"/>
          <w:lang w:val="en-US"/>
        </w:rPr>
        <w:t>Comparative Administrative Law</w:t>
      </w:r>
      <w:r w:rsidR="00344670" w:rsidRPr="00BB1D0A">
        <w:rPr>
          <w:rFonts w:cs="Times New Roman"/>
          <w:sz w:val="22"/>
          <w:lang w:val="en-US"/>
        </w:rPr>
        <w:t>, Cheltenham, Edward Elgar, 2010, 569.</w:t>
      </w:r>
    </w:p>
  </w:footnote>
  <w:footnote w:id="8">
    <w:p w:rsidR="00210382" w:rsidRPr="00BB1D0A" w:rsidRDefault="00210382" w:rsidP="00BB1D0A">
      <w:pPr>
        <w:pStyle w:val="Testonotaapidipagina"/>
        <w:rPr>
          <w:rFonts w:cs="Times New Roman"/>
          <w:sz w:val="22"/>
          <w:szCs w:val="22"/>
        </w:rPr>
      </w:pPr>
      <w:r w:rsidRPr="00BB1D0A">
        <w:rPr>
          <w:rStyle w:val="Rimandonotaapidipagina"/>
          <w:rFonts w:cs="Times New Roman"/>
          <w:sz w:val="22"/>
          <w:szCs w:val="22"/>
        </w:rPr>
        <w:footnoteRef/>
      </w:r>
      <w:r w:rsidRPr="00BB1D0A">
        <w:rPr>
          <w:rFonts w:cs="Times New Roman"/>
          <w:sz w:val="22"/>
          <w:szCs w:val="22"/>
        </w:rPr>
        <w:t xml:space="preserve"> Con la creazione dell’euro gli stati europei hanno perso la possibilità di finanziare il debito con politiche inflazionistiche: la condivisione della sovranità nell’ordinamento europeo, in assenza di strumenti comuni di gestione del debito, crea un vuoto difficilmente colmabile, che infatti ha richiesto l’assunzione di un nuovo ruolo da parte della Bce, peraltro contestato da alcuni Stati, in particolare nell’ordinamento tedesco, come dimostrano le questioni relative alle operazioni di OTM sottoposte alla Corte costituzionale tedesca</w:t>
      </w:r>
      <w:r w:rsidR="00E51B4D" w:rsidRPr="00BB1D0A">
        <w:rPr>
          <w:rFonts w:cs="Times New Roman"/>
          <w:sz w:val="22"/>
          <w:szCs w:val="22"/>
        </w:rPr>
        <w:t>, che ha sua volta rinviato la questione alla Corte di giustizia. La Corte di giustizia ha, però, ritenuto che le operazioni di acquisto di bond della Bce siano legittime e conformi al diritto europeo</w:t>
      </w:r>
      <w:r w:rsidRPr="00BB1D0A">
        <w:rPr>
          <w:rFonts w:cs="Times New Roman"/>
          <w:sz w:val="22"/>
          <w:szCs w:val="22"/>
        </w:rPr>
        <w:t>.</w:t>
      </w:r>
    </w:p>
  </w:footnote>
  <w:footnote w:id="9">
    <w:p w:rsidR="000F7C6D" w:rsidRPr="00BB1D0A" w:rsidRDefault="000F7C6D" w:rsidP="00BB1D0A">
      <w:pPr>
        <w:pStyle w:val="Testonotaapidipagina"/>
        <w:rPr>
          <w:rFonts w:cs="Times New Roman"/>
          <w:sz w:val="22"/>
          <w:szCs w:val="22"/>
        </w:rPr>
      </w:pPr>
      <w:r w:rsidRPr="00BB1D0A">
        <w:rPr>
          <w:rStyle w:val="Rimandonotaapidipagina"/>
          <w:rFonts w:cs="Times New Roman"/>
          <w:sz w:val="22"/>
          <w:szCs w:val="22"/>
        </w:rPr>
        <w:footnoteRef/>
      </w:r>
      <w:r w:rsidRPr="00BB1D0A">
        <w:rPr>
          <w:rFonts w:cs="Times New Roman"/>
          <w:sz w:val="22"/>
          <w:szCs w:val="22"/>
        </w:rPr>
        <w:t xml:space="preserve"> </w:t>
      </w:r>
      <w:r w:rsidR="00210382" w:rsidRPr="00BB1D0A">
        <w:rPr>
          <w:rFonts w:cs="Times New Roman"/>
          <w:sz w:val="22"/>
          <w:szCs w:val="22"/>
        </w:rPr>
        <w:t>Sul punto si veda</w:t>
      </w:r>
      <w:r w:rsidR="005673EF" w:rsidRPr="00BB1D0A">
        <w:rPr>
          <w:rFonts w:cs="Times New Roman"/>
          <w:sz w:val="22"/>
          <w:szCs w:val="22"/>
        </w:rPr>
        <w:t xml:space="preserve"> </w:t>
      </w:r>
      <w:r w:rsidR="00210382" w:rsidRPr="00BB1D0A">
        <w:rPr>
          <w:rFonts w:cs="Times New Roman"/>
          <w:sz w:val="22"/>
          <w:szCs w:val="22"/>
        </w:rPr>
        <w:t xml:space="preserve">il dibattito raccolto in George A. </w:t>
      </w:r>
      <w:proofErr w:type="spellStart"/>
      <w:r w:rsidR="00210382" w:rsidRPr="00BB1D0A">
        <w:rPr>
          <w:rFonts w:cs="Times New Roman"/>
          <w:sz w:val="22"/>
          <w:szCs w:val="22"/>
        </w:rPr>
        <w:t>Akerlof</w:t>
      </w:r>
      <w:proofErr w:type="spellEnd"/>
      <w:r w:rsidR="00210382" w:rsidRPr="00BB1D0A">
        <w:rPr>
          <w:rFonts w:cs="Times New Roman"/>
          <w:sz w:val="22"/>
          <w:szCs w:val="22"/>
        </w:rPr>
        <w:t xml:space="preserve">, David </w:t>
      </w:r>
      <w:proofErr w:type="spellStart"/>
      <w:r w:rsidR="00210382" w:rsidRPr="00BB1D0A">
        <w:rPr>
          <w:rFonts w:cs="Times New Roman"/>
          <w:sz w:val="22"/>
          <w:szCs w:val="22"/>
        </w:rPr>
        <w:t>Romer</w:t>
      </w:r>
      <w:proofErr w:type="spellEnd"/>
      <w:r w:rsidR="00210382" w:rsidRPr="00BB1D0A">
        <w:rPr>
          <w:rFonts w:cs="Times New Roman"/>
          <w:sz w:val="22"/>
          <w:szCs w:val="22"/>
        </w:rPr>
        <w:t xml:space="preserve">, Olivier J. </w:t>
      </w:r>
      <w:proofErr w:type="spellStart"/>
      <w:r w:rsidR="00210382" w:rsidRPr="00BB1D0A">
        <w:rPr>
          <w:rFonts w:cs="Times New Roman"/>
          <w:sz w:val="22"/>
          <w:szCs w:val="22"/>
        </w:rPr>
        <w:t>Blanchard</w:t>
      </w:r>
      <w:proofErr w:type="spellEnd"/>
      <w:r w:rsidR="00210382" w:rsidRPr="00BB1D0A">
        <w:rPr>
          <w:rFonts w:cs="Times New Roman"/>
          <w:sz w:val="22"/>
          <w:szCs w:val="22"/>
        </w:rPr>
        <w:t xml:space="preserve">, Joseph E. </w:t>
      </w:r>
      <w:proofErr w:type="spellStart"/>
      <w:r w:rsidR="00210382" w:rsidRPr="00BB1D0A">
        <w:rPr>
          <w:rFonts w:cs="Times New Roman"/>
          <w:sz w:val="22"/>
          <w:szCs w:val="22"/>
        </w:rPr>
        <w:t>Stiglitz</w:t>
      </w:r>
      <w:proofErr w:type="spellEnd"/>
      <w:r w:rsidR="00210382" w:rsidRPr="00BB1D0A">
        <w:rPr>
          <w:rFonts w:cs="Times New Roman"/>
          <w:sz w:val="22"/>
          <w:szCs w:val="22"/>
        </w:rPr>
        <w:t xml:space="preserve">, </w:t>
      </w:r>
      <w:proofErr w:type="spellStart"/>
      <w:r w:rsidR="00210382" w:rsidRPr="00BB1D0A">
        <w:rPr>
          <w:rFonts w:cs="Times New Roman"/>
          <w:i/>
          <w:sz w:val="22"/>
          <w:szCs w:val="22"/>
        </w:rPr>
        <w:t>What</w:t>
      </w:r>
      <w:proofErr w:type="spellEnd"/>
      <w:r w:rsidR="00210382" w:rsidRPr="00BB1D0A">
        <w:rPr>
          <w:rFonts w:cs="Times New Roman"/>
          <w:i/>
          <w:sz w:val="22"/>
          <w:szCs w:val="22"/>
        </w:rPr>
        <w:t xml:space="preserve"> </w:t>
      </w:r>
      <w:proofErr w:type="spellStart"/>
      <w:r w:rsidR="00210382" w:rsidRPr="00BB1D0A">
        <w:rPr>
          <w:rFonts w:cs="Times New Roman"/>
          <w:i/>
          <w:sz w:val="22"/>
          <w:szCs w:val="22"/>
        </w:rPr>
        <w:t>Have</w:t>
      </w:r>
      <w:proofErr w:type="spellEnd"/>
      <w:r w:rsidR="00210382" w:rsidRPr="00BB1D0A">
        <w:rPr>
          <w:rFonts w:cs="Times New Roman"/>
          <w:i/>
          <w:sz w:val="22"/>
          <w:szCs w:val="22"/>
        </w:rPr>
        <w:t xml:space="preserve"> </w:t>
      </w:r>
      <w:proofErr w:type="spellStart"/>
      <w:r w:rsidR="00210382" w:rsidRPr="00BB1D0A">
        <w:rPr>
          <w:rFonts w:cs="Times New Roman"/>
          <w:i/>
          <w:sz w:val="22"/>
          <w:szCs w:val="22"/>
        </w:rPr>
        <w:t>We</w:t>
      </w:r>
      <w:proofErr w:type="spellEnd"/>
      <w:r w:rsidR="00210382" w:rsidRPr="00BB1D0A">
        <w:rPr>
          <w:rFonts w:cs="Times New Roman"/>
          <w:i/>
          <w:sz w:val="22"/>
          <w:szCs w:val="22"/>
        </w:rPr>
        <w:t xml:space="preserve"> </w:t>
      </w:r>
      <w:proofErr w:type="spellStart"/>
      <w:r w:rsidR="00210382" w:rsidRPr="00BB1D0A">
        <w:rPr>
          <w:rFonts w:cs="Times New Roman"/>
          <w:i/>
          <w:sz w:val="22"/>
          <w:szCs w:val="22"/>
        </w:rPr>
        <w:t>Learned</w:t>
      </w:r>
      <w:proofErr w:type="spellEnd"/>
      <w:r w:rsidR="00210382" w:rsidRPr="00BB1D0A">
        <w:rPr>
          <w:rFonts w:cs="Times New Roman"/>
          <w:i/>
          <w:sz w:val="22"/>
          <w:szCs w:val="22"/>
        </w:rPr>
        <w:t>?</w:t>
      </w:r>
      <w:r w:rsidR="00210382" w:rsidRPr="00BB1D0A">
        <w:rPr>
          <w:rFonts w:cs="Times New Roman"/>
          <w:sz w:val="22"/>
          <w:szCs w:val="22"/>
        </w:rPr>
        <w:t>, The MIT Press, 2014.</w:t>
      </w:r>
    </w:p>
  </w:footnote>
  <w:footnote w:id="10">
    <w:p w:rsidR="00B9371A" w:rsidRPr="00BB1D0A" w:rsidRDefault="00B9371A" w:rsidP="00BB1D0A">
      <w:pPr>
        <w:spacing w:line="240" w:lineRule="auto"/>
        <w:rPr>
          <w:rFonts w:cs="Times New Roman"/>
          <w:sz w:val="22"/>
          <w:lang w:val="en-US"/>
        </w:rPr>
      </w:pPr>
      <w:r w:rsidRPr="00BB1D0A">
        <w:rPr>
          <w:rStyle w:val="Rimandonotaapidipagina"/>
          <w:rFonts w:cs="Times New Roman"/>
          <w:sz w:val="22"/>
        </w:rPr>
        <w:footnoteRef/>
      </w:r>
      <w:r w:rsidR="00210382" w:rsidRPr="00BB1D0A">
        <w:rPr>
          <w:rFonts w:cs="Times New Roman"/>
          <w:sz w:val="22"/>
          <w:lang w:val="en-US"/>
        </w:rPr>
        <w:t xml:space="preserve"> Ad </w:t>
      </w:r>
      <w:proofErr w:type="spellStart"/>
      <w:r w:rsidR="00210382" w:rsidRPr="00BB1D0A">
        <w:rPr>
          <w:rFonts w:cs="Times New Roman"/>
          <w:sz w:val="22"/>
          <w:lang w:val="en-US"/>
        </w:rPr>
        <w:t>esempio</w:t>
      </w:r>
      <w:proofErr w:type="spellEnd"/>
      <w:r w:rsidR="00210382" w:rsidRPr="00BB1D0A">
        <w:rPr>
          <w:rFonts w:cs="Times New Roman"/>
          <w:sz w:val="22"/>
          <w:lang w:val="en-US"/>
        </w:rPr>
        <w:t xml:space="preserve"> in </w:t>
      </w:r>
      <w:r w:rsidR="005673EF" w:rsidRPr="00BB1D0A">
        <w:rPr>
          <w:rFonts w:cs="Times New Roman"/>
          <w:sz w:val="22"/>
          <w:lang w:val="en-US"/>
        </w:rPr>
        <w:t xml:space="preserve">George A. </w:t>
      </w:r>
      <w:proofErr w:type="spellStart"/>
      <w:r w:rsidR="005673EF" w:rsidRPr="00BB1D0A">
        <w:rPr>
          <w:rFonts w:cs="Times New Roman"/>
          <w:sz w:val="22"/>
          <w:lang w:val="en-US"/>
        </w:rPr>
        <w:t>Akerlof</w:t>
      </w:r>
      <w:proofErr w:type="spellEnd"/>
      <w:r w:rsidR="005673EF" w:rsidRPr="00BB1D0A">
        <w:rPr>
          <w:rFonts w:cs="Times New Roman"/>
          <w:sz w:val="22"/>
          <w:lang w:val="en-US"/>
        </w:rPr>
        <w:t xml:space="preserve">, Robert J. J. Shiller, </w:t>
      </w:r>
      <w:r w:rsidR="00210382" w:rsidRPr="00BB1D0A">
        <w:rPr>
          <w:rFonts w:cs="Times New Roman"/>
          <w:i/>
          <w:sz w:val="22"/>
          <w:lang w:val="en-US"/>
        </w:rPr>
        <w:t>Animal Spirits: How Human Psychology Drives the Economy, and Why It Matters for Gl</w:t>
      </w:r>
      <w:r w:rsidR="005673EF" w:rsidRPr="00BB1D0A">
        <w:rPr>
          <w:rFonts w:cs="Times New Roman"/>
          <w:i/>
          <w:sz w:val="22"/>
          <w:lang w:val="en-US"/>
        </w:rPr>
        <w:t>obal Capitalism</w:t>
      </w:r>
      <w:r w:rsidR="005673EF" w:rsidRPr="00BB1D0A">
        <w:rPr>
          <w:rFonts w:cs="Times New Roman"/>
          <w:sz w:val="22"/>
          <w:lang w:val="en-US"/>
        </w:rPr>
        <w:t>, Princeton University Press, 2009</w:t>
      </w:r>
      <w:r w:rsidR="00415FAA" w:rsidRPr="00BB1D0A">
        <w:rPr>
          <w:rFonts w:cs="Times New Roman"/>
          <w:sz w:val="22"/>
          <w:lang w:val="en-US"/>
        </w:rPr>
        <w:t>.</w:t>
      </w:r>
    </w:p>
  </w:footnote>
  <w:footnote w:id="11">
    <w:p w:rsidR="00E27A04" w:rsidRPr="00BB1D0A" w:rsidRDefault="00E27A04" w:rsidP="00BB1D0A">
      <w:pPr>
        <w:pStyle w:val="Testonotaapidipagina"/>
        <w:rPr>
          <w:rFonts w:cs="Times New Roman"/>
          <w:sz w:val="22"/>
          <w:szCs w:val="22"/>
          <w:lang w:val="en-US"/>
        </w:rPr>
      </w:pPr>
      <w:r w:rsidRPr="00BB1D0A">
        <w:rPr>
          <w:rStyle w:val="Rimandonotaapidipagina"/>
          <w:rFonts w:cs="Times New Roman"/>
          <w:sz w:val="22"/>
          <w:szCs w:val="22"/>
        </w:rPr>
        <w:footnoteRef/>
      </w:r>
      <w:r w:rsidRPr="00BB1D0A">
        <w:rPr>
          <w:rFonts w:cs="Times New Roman"/>
          <w:sz w:val="22"/>
          <w:szCs w:val="22"/>
          <w:lang w:val="en-US"/>
        </w:rPr>
        <w:t xml:space="preserve"> </w:t>
      </w:r>
      <w:r w:rsidR="005673EF" w:rsidRPr="00BB1D0A">
        <w:rPr>
          <w:rFonts w:cs="Times New Roman"/>
          <w:sz w:val="22"/>
          <w:szCs w:val="22"/>
          <w:lang w:val="en-US"/>
        </w:rPr>
        <w:t xml:space="preserve">G. </w:t>
      </w:r>
      <w:r w:rsidRPr="00BB1D0A">
        <w:rPr>
          <w:rFonts w:cs="Times New Roman"/>
          <w:sz w:val="22"/>
          <w:szCs w:val="22"/>
          <w:lang w:val="en-US"/>
        </w:rPr>
        <w:t>Soros</w:t>
      </w:r>
      <w:r w:rsidR="005673EF" w:rsidRPr="00BB1D0A">
        <w:rPr>
          <w:rFonts w:cs="Times New Roman"/>
          <w:sz w:val="22"/>
          <w:szCs w:val="22"/>
          <w:lang w:val="en-US"/>
        </w:rPr>
        <w:t xml:space="preserve">, </w:t>
      </w:r>
      <w:r w:rsidR="005673EF" w:rsidRPr="00BB1D0A">
        <w:rPr>
          <w:rFonts w:cs="Times New Roman"/>
          <w:i/>
          <w:sz w:val="22"/>
          <w:szCs w:val="22"/>
          <w:lang w:val="en-US"/>
        </w:rPr>
        <w:t>The Tragedy of the European Union: Disintegration or Revival?,</w:t>
      </w:r>
      <w:r w:rsidR="005673EF" w:rsidRPr="00BB1D0A">
        <w:rPr>
          <w:rFonts w:cs="Times New Roman"/>
          <w:sz w:val="22"/>
          <w:szCs w:val="22"/>
          <w:lang w:val="en-US"/>
        </w:rPr>
        <w:t xml:space="preserve"> Public Affairs, 2014.</w:t>
      </w:r>
    </w:p>
  </w:footnote>
  <w:footnote w:id="12">
    <w:p w:rsidR="00CB14EF" w:rsidRPr="00BB1D0A" w:rsidRDefault="00CB14EF" w:rsidP="00BB1D0A">
      <w:pPr>
        <w:pStyle w:val="Testonotaapidipagina"/>
        <w:rPr>
          <w:rFonts w:cs="Times New Roman"/>
          <w:sz w:val="22"/>
          <w:szCs w:val="22"/>
          <w:lang w:val="en-US"/>
        </w:rPr>
      </w:pPr>
      <w:r w:rsidRPr="00BB1D0A">
        <w:rPr>
          <w:rStyle w:val="Rimandonotaapidipagina"/>
          <w:rFonts w:cs="Times New Roman"/>
          <w:sz w:val="22"/>
          <w:szCs w:val="22"/>
        </w:rPr>
        <w:footnoteRef/>
      </w:r>
      <w:r w:rsidRPr="00BB1D0A">
        <w:rPr>
          <w:rFonts w:cs="Times New Roman"/>
          <w:sz w:val="22"/>
          <w:szCs w:val="22"/>
          <w:lang w:val="en-US"/>
        </w:rPr>
        <w:t xml:space="preserve"> </w:t>
      </w:r>
      <w:r w:rsidR="005F2ABC" w:rsidRPr="00BB1D0A">
        <w:rPr>
          <w:rFonts w:cs="Times New Roman"/>
          <w:sz w:val="22"/>
          <w:szCs w:val="22"/>
          <w:lang w:val="en-US"/>
        </w:rPr>
        <w:t xml:space="preserve">J. </w:t>
      </w:r>
      <w:proofErr w:type="spellStart"/>
      <w:r w:rsidR="005F2ABC" w:rsidRPr="00BB1D0A">
        <w:rPr>
          <w:rFonts w:cs="Times New Roman"/>
          <w:sz w:val="22"/>
          <w:szCs w:val="22"/>
          <w:lang w:val="en-US"/>
        </w:rPr>
        <w:t>Stiglitz</w:t>
      </w:r>
      <w:proofErr w:type="spellEnd"/>
      <w:r w:rsidR="005F2ABC" w:rsidRPr="00BB1D0A">
        <w:rPr>
          <w:rFonts w:cs="Times New Roman"/>
          <w:sz w:val="22"/>
          <w:szCs w:val="22"/>
          <w:lang w:val="en-US"/>
        </w:rPr>
        <w:t xml:space="preserve">, in </w:t>
      </w:r>
      <w:r w:rsidRPr="00BB1D0A">
        <w:rPr>
          <w:rFonts w:cs="Times New Roman"/>
          <w:sz w:val="22"/>
          <w:szCs w:val="22"/>
          <w:lang w:val="en-US"/>
        </w:rPr>
        <w:t xml:space="preserve"> George A. </w:t>
      </w:r>
      <w:proofErr w:type="spellStart"/>
      <w:r w:rsidRPr="00BB1D0A">
        <w:rPr>
          <w:rFonts w:cs="Times New Roman"/>
          <w:sz w:val="22"/>
          <w:szCs w:val="22"/>
          <w:lang w:val="en-US"/>
        </w:rPr>
        <w:t>Akerlof</w:t>
      </w:r>
      <w:proofErr w:type="spellEnd"/>
      <w:r w:rsidRPr="00BB1D0A">
        <w:rPr>
          <w:rFonts w:cs="Times New Roman"/>
          <w:sz w:val="22"/>
          <w:szCs w:val="22"/>
          <w:lang w:val="en-US"/>
        </w:rPr>
        <w:t xml:space="preserve">, David </w:t>
      </w:r>
      <w:proofErr w:type="spellStart"/>
      <w:r w:rsidRPr="00BB1D0A">
        <w:rPr>
          <w:rFonts w:cs="Times New Roman"/>
          <w:sz w:val="22"/>
          <w:szCs w:val="22"/>
          <w:lang w:val="en-US"/>
        </w:rPr>
        <w:t>Romer</w:t>
      </w:r>
      <w:proofErr w:type="spellEnd"/>
      <w:r w:rsidRPr="00BB1D0A">
        <w:rPr>
          <w:rFonts w:cs="Times New Roman"/>
          <w:sz w:val="22"/>
          <w:szCs w:val="22"/>
          <w:lang w:val="en-US"/>
        </w:rPr>
        <w:t xml:space="preserve">, Olivier J. Blanchard, Joseph E. </w:t>
      </w:r>
      <w:proofErr w:type="spellStart"/>
      <w:r w:rsidRPr="00BB1D0A">
        <w:rPr>
          <w:rFonts w:cs="Times New Roman"/>
          <w:sz w:val="22"/>
          <w:szCs w:val="22"/>
          <w:lang w:val="en-US"/>
        </w:rPr>
        <w:t>Stiglitz</w:t>
      </w:r>
      <w:proofErr w:type="spellEnd"/>
      <w:r w:rsidR="005F2ABC" w:rsidRPr="00BB1D0A">
        <w:rPr>
          <w:rFonts w:cs="Times New Roman"/>
          <w:sz w:val="22"/>
          <w:szCs w:val="22"/>
          <w:lang w:val="en-US"/>
        </w:rPr>
        <w:t xml:space="preserve">, </w:t>
      </w:r>
      <w:r w:rsidR="005F2ABC" w:rsidRPr="00BB1D0A">
        <w:rPr>
          <w:rFonts w:cs="Times New Roman"/>
          <w:i/>
          <w:sz w:val="22"/>
          <w:szCs w:val="22"/>
          <w:lang w:val="en-US"/>
        </w:rPr>
        <w:t>What Have We Learned?</w:t>
      </w:r>
      <w:r w:rsidR="005673EF" w:rsidRPr="00BB1D0A">
        <w:rPr>
          <w:rFonts w:cs="Times New Roman"/>
          <w:sz w:val="22"/>
          <w:szCs w:val="22"/>
          <w:lang w:val="en-US"/>
        </w:rPr>
        <w:t>, cit.</w:t>
      </w:r>
      <w:r w:rsidR="005F2ABC" w:rsidRPr="00BB1D0A">
        <w:rPr>
          <w:rFonts w:cs="Times New Roman"/>
          <w:sz w:val="22"/>
          <w:szCs w:val="22"/>
          <w:lang w:val="en-US"/>
        </w:rPr>
        <w:t xml:space="preserve"> </w:t>
      </w:r>
      <w:proofErr w:type="spellStart"/>
      <w:r w:rsidR="005F2ABC" w:rsidRPr="00BB1D0A">
        <w:rPr>
          <w:rFonts w:cs="Times New Roman"/>
          <w:sz w:val="22"/>
          <w:szCs w:val="22"/>
          <w:lang w:val="en-US"/>
        </w:rPr>
        <w:t>ricorda</w:t>
      </w:r>
      <w:proofErr w:type="spellEnd"/>
      <w:r w:rsidR="005F2ABC" w:rsidRPr="00BB1D0A">
        <w:rPr>
          <w:rFonts w:cs="Times New Roman"/>
          <w:sz w:val="22"/>
          <w:szCs w:val="22"/>
          <w:lang w:val="en-US"/>
        </w:rPr>
        <w:t xml:space="preserve"> </w:t>
      </w:r>
      <w:proofErr w:type="spellStart"/>
      <w:r w:rsidR="005F2ABC" w:rsidRPr="00BB1D0A">
        <w:rPr>
          <w:rFonts w:cs="Times New Roman"/>
          <w:sz w:val="22"/>
          <w:szCs w:val="22"/>
          <w:lang w:val="en-US"/>
        </w:rPr>
        <w:t>che</w:t>
      </w:r>
      <w:proofErr w:type="spellEnd"/>
      <w:r w:rsidR="005F2ABC" w:rsidRPr="00BB1D0A">
        <w:rPr>
          <w:rFonts w:cs="Times New Roman"/>
          <w:sz w:val="22"/>
          <w:szCs w:val="22"/>
          <w:lang w:val="en-US"/>
        </w:rPr>
        <w:t xml:space="preserve"> “</w:t>
      </w:r>
      <w:r w:rsidRPr="00BB1D0A">
        <w:rPr>
          <w:rFonts w:cs="Times New Roman"/>
          <w:i/>
          <w:sz w:val="22"/>
          <w:szCs w:val="22"/>
          <w:lang w:val="en-US"/>
        </w:rPr>
        <w:t>Bruce Greenwald and I have pointed out that markets are never Pareto efficient if information is imperfect, if there are asymmetries of information, or if risk markets are imperfect. And since these conditions are always satisfied, markets are never Pareto efficient</w:t>
      </w:r>
      <w:r w:rsidR="005F2ABC" w:rsidRPr="00BB1D0A">
        <w:rPr>
          <w:rFonts w:cs="Times New Roman"/>
          <w:sz w:val="22"/>
          <w:szCs w:val="22"/>
          <w:lang w:val="en-US"/>
        </w:rPr>
        <w:t>”.</w:t>
      </w:r>
    </w:p>
  </w:footnote>
  <w:footnote w:id="13">
    <w:p w:rsidR="007E5A38" w:rsidRPr="00BB1D0A" w:rsidRDefault="007E5A38" w:rsidP="00BB1D0A">
      <w:pPr>
        <w:pStyle w:val="Testonotaapidipagina"/>
        <w:rPr>
          <w:rFonts w:cs="Times New Roman"/>
          <w:sz w:val="22"/>
          <w:szCs w:val="22"/>
          <w:lang w:val="en-US"/>
        </w:rPr>
      </w:pPr>
      <w:r w:rsidRPr="00BB1D0A">
        <w:rPr>
          <w:rStyle w:val="Rimandonotaapidipagina"/>
          <w:rFonts w:cs="Times New Roman"/>
          <w:sz w:val="22"/>
          <w:szCs w:val="22"/>
        </w:rPr>
        <w:footnoteRef/>
      </w:r>
      <w:r w:rsidRPr="00BB1D0A">
        <w:rPr>
          <w:rFonts w:cs="Times New Roman"/>
          <w:sz w:val="22"/>
          <w:szCs w:val="22"/>
          <w:lang w:val="en-US"/>
        </w:rPr>
        <w:t xml:space="preserve"> </w:t>
      </w:r>
      <w:r w:rsidR="00AC29CA" w:rsidRPr="00BB1D0A">
        <w:rPr>
          <w:rFonts w:cs="Times New Roman"/>
          <w:sz w:val="22"/>
          <w:szCs w:val="22"/>
          <w:lang w:val="en-US"/>
        </w:rPr>
        <w:t xml:space="preserve">V. D. </w:t>
      </w:r>
      <w:proofErr w:type="spellStart"/>
      <w:r w:rsidR="00AC29CA" w:rsidRPr="00BB1D0A">
        <w:rPr>
          <w:rFonts w:cs="Times New Roman"/>
          <w:sz w:val="22"/>
          <w:szCs w:val="22"/>
          <w:lang w:val="en-US"/>
        </w:rPr>
        <w:t>R</w:t>
      </w:r>
      <w:r w:rsidRPr="00BB1D0A">
        <w:rPr>
          <w:rFonts w:cs="Times New Roman"/>
          <w:sz w:val="22"/>
          <w:szCs w:val="22"/>
          <w:lang w:val="en-US"/>
        </w:rPr>
        <w:t>odrik</w:t>
      </w:r>
      <w:proofErr w:type="spellEnd"/>
      <w:r w:rsidR="00AC29CA" w:rsidRPr="00BB1D0A">
        <w:rPr>
          <w:rFonts w:cs="Times New Roman"/>
          <w:sz w:val="22"/>
          <w:szCs w:val="22"/>
          <w:lang w:val="en-US"/>
        </w:rPr>
        <w:t>,</w:t>
      </w:r>
      <w:r w:rsidR="00A03C50" w:rsidRPr="00BB1D0A">
        <w:rPr>
          <w:rFonts w:cs="Times New Roman"/>
          <w:sz w:val="22"/>
          <w:szCs w:val="22"/>
          <w:lang w:val="en-US"/>
        </w:rPr>
        <w:t xml:space="preserve"> </w:t>
      </w:r>
      <w:r w:rsidR="00415FAA" w:rsidRPr="00BB1D0A">
        <w:rPr>
          <w:rFonts w:cs="Times New Roman"/>
          <w:i/>
          <w:sz w:val="22"/>
          <w:szCs w:val="22"/>
          <w:lang w:val="en-US"/>
        </w:rPr>
        <w:t>The Globalization Paradox</w:t>
      </w:r>
      <w:r w:rsidR="00415FAA" w:rsidRPr="00BB1D0A">
        <w:rPr>
          <w:rFonts w:cs="Times New Roman"/>
          <w:sz w:val="22"/>
          <w:szCs w:val="22"/>
          <w:lang w:val="en-US"/>
        </w:rPr>
        <w:t xml:space="preserve">, </w:t>
      </w:r>
      <w:proofErr w:type="spellStart"/>
      <w:r w:rsidR="00415FAA" w:rsidRPr="00BB1D0A">
        <w:rPr>
          <w:rFonts w:cs="Times New Roman"/>
          <w:sz w:val="22"/>
          <w:szCs w:val="22"/>
          <w:lang w:val="en-US"/>
        </w:rPr>
        <w:t>cit</w:t>
      </w:r>
      <w:proofErr w:type="spellEnd"/>
      <w:r w:rsidR="00415FAA" w:rsidRPr="00BB1D0A">
        <w:rPr>
          <w:rFonts w:cs="Times New Roman"/>
          <w:sz w:val="22"/>
          <w:szCs w:val="22"/>
          <w:lang w:val="en-US"/>
        </w:rPr>
        <w:t>, pp. 61 ss.</w:t>
      </w:r>
      <w:r w:rsidR="00AC29CA" w:rsidRPr="00BB1D0A">
        <w:rPr>
          <w:rFonts w:cs="Times New Roman"/>
          <w:sz w:val="22"/>
          <w:szCs w:val="22"/>
          <w:lang w:val="en-US"/>
        </w:rPr>
        <w:t>.</w:t>
      </w:r>
    </w:p>
  </w:footnote>
  <w:footnote w:id="14">
    <w:p w:rsidR="00A925E9" w:rsidRPr="00BB1D0A" w:rsidRDefault="00A925E9" w:rsidP="00BB1D0A">
      <w:pPr>
        <w:spacing w:line="240" w:lineRule="auto"/>
        <w:rPr>
          <w:rFonts w:cs="Times New Roman"/>
          <w:sz w:val="22"/>
          <w:lang w:val="en-US"/>
        </w:rPr>
      </w:pPr>
      <w:r w:rsidRPr="00BB1D0A">
        <w:rPr>
          <w:rStyle w:val="Rimandonotaapidipagina"/>
          <w:rFonts w:cs="Times New Roman"/>
          <w:sz w:val="22"/>
        </w:rPr>
        <w:footnoteRef/>
      </w:r>
      <w:r w:rsidRPr="00BB1D0A">
        <w:rPr>
          <w:rFonts w:cs="Times New Roman"/>
          <w:sz w:val="22"/>
          <w:lang w:val="en-US"/>
        </w:rPr>
        <w:t xml:space="preserve"> </w:t>
      </w:r>
      <w:r w:rsidR="005F2ABC" w:rsidRPr="00BB1D0A">
        <w:rPr>
          <w:rFonts w:cs="Times New Roman"/>
          <w:sz w:val="22"/>
          <w:lang w:val="en-US"/>
        </w:rPr>
        <w:t xml:space="preserve">M. Buchanan, </w:t>
      </w:r>
      <w:r w:rsidRPr="00BB1D0A">
        <w:rPr>
          <w:rFonts w:cs="Times New Roman"/>
          <w:i/>
          <w:sz w:val="22"/>
          <w:lang w:val="en-US"/>
        </w:rPr>
        <w:t>Forecast: What Physics, Meteorology, and the Natural Sciences Can Teach Us About Economics</w:t>
      </w:r>
      <w:r w:rsidR="005F2ABC" w:rsidRPr="00BB1D0A">
        <w:rPr>
          <w:rFonts w:cs="Times New Roman"/>
          <w:sz w:val="22"/>
          <w:lang w:val="en-US"/>
        </w:rPr>
        <w:t>,</w:t>
      </w:r>
      <w:r w:rsidR="00A03C50" w:rsidRPr="00BB1D0A">
        <w:rPr>
          <w:rFonts w:cs="Times New Roman"/>
          <w:sz w:val="22"/>
          <w:lang w:val="en-US"/>
        </w:rPr>
        <w:t xml:space="preserve"> Bloomsbury, </w:t>
      </w:r>
      <w:proofErr w:type="spellStart"/>
      <w:r w:rsidR="00A03C50" w:rsidRPr="00BB1D0A">
        <w:rPr>
          <w:rFonts w:cs="Times New Roman"/>
          <w:sz w:val="22"/>
          <w:lang w:val="en-US"/>
        </w:rPr>
        <w:t>Usa</w:t>
      </w:r>
      <w:proofErr w:type="spellEnd"/>
      <w:r w:rsidR="00A03C50" w:rsidRPr="00BB1D0A">
        <w:rPr>
          <w:rFonts w:cs="Times New Roman"/>
          <w:sz w:val="22"/>
          <w:lang w:val="en-US"/>
        </w:rPr>
        <w:t>, 2014:</w:t>
      </w:r>
      <w:r w:rsidRPr="00BB1D0A">
        <w:rPr>
          <w:rFonts w:cs="Times New Roman"/>
          <w:sz w:val="22"/>
          <w:lang w:val="en-US"/>
        </w:rPr>
        <w:t xml:space="preserve"> </w:t>
      </w:r>
      <w:r w:rsidR="00A03C50" w:rsidRPr="00BB1D0A">
        <w:rPr>
          <w:rFonts w:cs="Times New Roman"/>
          <w:sz w:val="22"/>
          <w:lang w:val="en-US"/>
        </w:rPr>
        <w:t>“</w:t>
      </w:r>
      <w:r w:rsidRPr="00BB1D0A">
        <w:rPr>
          <w:rFonts w:cs="Times New Roman"/>
          <w:i/>
          <w:sz w:val="22"/>
          <w:lang w:val="en-US"/>
        </w:rPr>
        <w:t>We’ll never understand economies and markets until we get over the nutty idea that they alone—unlike almost every other complex system in the world—are inherently stable and have no internal weather. There is no reason to think that the theoretical general equilibrium so prized by economists is anything more than a curiosity</w:t>
      </w:r>
      <w:r w:rsidR="00A03C50" w:rsidRPr="00BB1D0A">
        <w:rPr>
          <w:rFonts w:cs="Times New Roman"/>
          <w:i/>
          <w:sz w:val="22"/>
          <w:lang w:val="en-US"/>
        </w:rPr>
        <w:t>”</w:t>
      </w:r>
      <w:r w:rsidRPr="00BB1D0A">
        <w:rPr>
          <w:rFonts w:cs="Times New Roman"/>
          <w:sz w:val="22"/>
          <w:lang w:val="en-US"/>
        </w:rPr>
        <w:t>.</w:t>
      </w:r>
    </w:p>
  </w:footnote>
  <w:footnote w:id="15">
    <w:p w:rsidR="00A925E9" w:rsidRPr="00BB1D0A" w:rsidRDefault="00A925E9" w:rsidP="00BB1D0A">
      <w:pPr>
        <w:spacing w:line="240" w:lineRule="auto"/>
        <w:rPr>
          <w:rFonts w:cs="Times New Roman"/>
          <w:sz w:val="22"/>
          <w:lang w:val="en-US"/>
        </w:rPr>
      </w:pPr>
      <w:r w:rsidRPr="00BB1D0A">
        <w:rPr>
          <w:rStyle w:val="Rimandonotaapidipagina"/>
          <w:rFonts w:cs="Times New Roman"/>
          <w:sz w:val="22"/>
        </w:rPr>
        <w:footnoteRef/>
      </w:r>
      <w:r w:rsidRPr="00BB1D0A">
        <w:rPr>
          <w:rFonts w:cs="Times New Roman"/>
          <w:sz w:val="22"/>
          <w:lang w:val="en-US"/>
        </w:rPr>
        <w:t xml:space="preserve"> D. North</w:t>
      </w:r>
      <w:r w:rsidR="00AC29CA" w:rsidRPr="00BB1D0A">
        <w:rPr>
          <w:rFonts w:cs="Times New Roman"/>
          <w:sz w:val="22"/>
          <w:lang w:val="en-US"/>
        </w:rPr>
        <w:t xml:space="preserve">, </w:t>
      </w:r>
      <w:r w:rsidR="00AC29CA" w:rsidRPr="00BB1D0A">
        <w:rPr>
          <w:rFonts w:cs="Times New Roman"/>
          <w:i/>
          <w:sz w:val="22"/>
          <w:lang w:val="en-US"/>
        </w:rPr>
        <w:t>Institutions, institutional change, and economic performance</w:t>
      </w:r>
      <w:r w:rsidR="00AC29CA" w:rsidRPr="00BB1D0A">
        <w:rPr>
          <w:rFonts w:cs="Times New Roman"/>
          <w:sz w:val="22"/>
          <w:lang w:val="en-US"/>
        </w:rPr>
        <w:t>, Cambridge, Cambridge University Press, 1990 (</w:t>
      </w:r>
      <w:proofErr w:type="spellStart"/>
      <w:r w:rsidR="00AC29CA" w:rsidRPr="00BB1D0A">
        <w:rPr>
          <w:rFonts w:cs="Times New Roman"/>
          <w:sz w:val="22"/>
          <w:lang w:val="en-US"/>
        </w:rPr>
        <w:t>trad</w:t>
      </w:r>
      <w:proofErr w:type="spellEnd"/>
      <w:r w:rsidR="00AC29CA" w:rsidRPr="00BB1D0A">
        <w:rPr>
          <w:rFonts w:cs="Times New Roman"/>
          <w:sz w:val="22"/>
          <w:lang w:val="en-US"/>
        </w:rPr>
        <w:t xml:space="preserve">. </w:t>
      </w:r>
      <w:proofErr w:type="spellStart"/>
      <w:r w:rsidR="00AC29CA" w:rsidRPr="00BB1D0A">
        <w:rPr>
          <w:rFonts w:cs="Times New Roman"/>
          <w:sz w:val="22"/>
          <w:lang w:val="en-US"/>
        </w:rPr>
        <w:t>italiana</w:t>
      </w:r>
      <w:proofErr w:type="spellEnd"/>
      <w:r w:rsidR="00A03C50" w:rsidRPr="00BB1D0A">
        <w:rPr>
          <w:rFonts w:cs="Times New Roman"/>
          <w:sz w:val="22"/>
          <w:lang w:val="en-US"/>
        </w:rPr>
        <w:t>,</w:t>
      </w:r>
      <w:r w:rsidR="00AC29CA" w:rsidRPr="00BB1D0A">
        <w:rPr>
          <w:rFonts w:cs="Times New Roman"/>
          <w:sz w:val="22"/>
          <w:lang w:val="en-US"/>
        </w:rPr>
        <w:t xml:space="preserve"> </w:t>
      </w:r>
      <w:proofErr w:type="spellStart"/>
      <w:r w:rsidR="00AC29CA" w:rsidRPr="00BB1D0A">
        <w:rPr>
          <w:rFonts w:cs="Times New Roman"/>
          <w:i/>
          <w:sz w:val="22"/>
          <w:lang w:val="en-US"/>
        </w:rPr>
        <w:t>Istituzioni</w:t>
      </w:r>
      <w:proofErr w:type="spellEnd"/>
      <w:r w:rsidR="00AC29CA" w:rsidRPr="00BB1D0A">
        <w:rPr>
          <w:rFonts w:cs="Times New Roman"/>
          <w:i/>
          <w:sz w:val="22"/>
          <w:lang w:val="en-US"/>
        </w:rPr>
        <w:t xml:space="preserve">, </w:t>
      </w:r>
      <w:proofErr w:type="spellStart"/>
      <w:r w:rsidR="00AC29CA" w:rsidRPr="00BB1D0A">
        <w:rPr>
          <w:rFonts w:cs="Times New Roman"/>
          <w:i/>
          <w:sz w:val="22"/>
          <w:lang w:val="en-US"/>
        </w:rPr>
        <w:t>cambiamento</w:t>
      </w:r>
      <w:proofErr w:type="spellEnd"/>
      <w:r w:rsidR="00AC29CA" w:rsidRPr="00BB1D0A">
        <w:rPr>
          <w:rFonts w:cs="Times New Roman"/>
          <w:i/>
          <w:sz w:val="22"/>
          <w:lang w:val="en-US"/>
        </w:rPr>
        <w:t xml:space="preserve"> </w:t>
      </w:r>
      <w:proofErr w:type="spellStart"/>
      <w:r w:rsidR="00AC29CA" w:rsidRPr="00BB1D0A">
        <w:rPr>
          <w:rFonts w:cs="Times New Roman"/>
          <w:i/>
          <w:sz w:val="22"/>
          <w:lang w:val="en-US"/>
        </w:rPr>
        <w:t>istituzionale</w:t>
      </w:r>
      <w:proofErr w:type="spellEnd"/>
      <w:r w:rsidR="00AC29CA" w:rsidRPr="00BB1D0A">
        <w:rPr>
          <w:rFonts w:cs="Times New Roman"/>
          <w:i/>
          <w:sz w:val="22"/>
          <w:lang w:val="en-US"/>
        </w:rPr>
        <w:t xml:space="preserve">, </w:t>
      </w:r>
      <w:proofErr w:type="spellStart"/>
      <w:r w:rsidR="00AC29CA" w:rsidRPr="00BB1D0A">
        <w:rPr>
          <w:rFonts w:cs="Times New Roman"/>
          <w:i/>
          <w:sz w:val="22"/>
          <w:lang w:val="en-US"/>
        </w:rPr>
        <w:t>evoluzione</w:t>
      </w:r>
      <w:proofErr w:type="spellEnd"/>
      <w:r w:rsidR="00AC29CA" w:rsidRPr="00BB1D0A">
        <w:rPr>
          <w:rFonts w:cs="Times New Roman"/>
          <w:i/>
          <w:sz w:val="22"/>
          <w:lang w:val="en-US"/>
        </w:rPr>
        <w:t xml:space="preserve"> </w:t>
      </w:r>
      <w:proofErr w:type="spellStart"/>
      <w:r w:rsidR="00AC29CA" w:rsidRPr="00BB1D0A">
        <w:rPr>
          <w:rFonts w:cs="Times New Roman"/>
          <w:i/>
          <w:sz w:val="22"/>
          <w:lang w:val="en-US"/>
        </w:rPr>
        <w:t>dell'economia</w:t>
      </w:r>
      <w:proofErr w:type="spellEnd"/>
      <w:r w:rsidR="00AC29CA" w:rsidRPr="00BB1D0A">
        <w:rPr>
          <w:rFonts w:cs="Times New Roman"/>
          <w:sz w:val="22"/>
          <w:lang w:val="en-US"/>
        </w:rPr>
        <w:t xml:space="preserve">, Bologna, Il </w:t>
      </w:r>
      <w:proofErr w:type="spellStart"/>
      <w:r w:rsidR="00AC29CA" w:rsidRPr="00BB1D0A">
        <w:rPr>
          <w:rFonts w:cs="Times New Roman"/>
          <w:sz w:val="22"/>
          <w:lang w:val="en-US"/>
        </w:rPr>
        <w:t>Mulino</w:t>
      </w:r>
      <w:proofErr w:type="spellEnd"/>
      <w:r w:rsidR="00AC29CA" w:rsidRPr="00BB1D0A">
        <w:rPr>
          <w:rFonts w:cs="Times New Roman"/>
          <w:sz w:val="22"/>
          <w:lang w:val="en-US"/>
        </w:rPr>
        <w:t>, 2007)</w:t>
      </w:r>
      <w:r w:rsidRPr="00BB1D0A">
        <w:rPr>
          <w:rFonts w:cs="Times New Roman"/>
          <w:sz w:val="22"/>
          <w:lang w:val="en-US"/>
        </w:rPr>
        <w:t xml:space="preserve">; </w:t>
      </w:r>
      <w:r w:rsidR="00AC29CA" w:rsidRPr="00BB1D0A">
        <w:rPr>
          <w:rFonts w:cs="Times New Roman"/>
          <w:sz w:val="22"/>
          <w:lang w:val="en-US"/>
        </w:rPr>
        <w:t xml:space="preserve">D. </w:t>
      </w:r>
      <w:proofErr w:type="spellStart"/>
      <w:r w:rsidRPr="00BB1D0A">
        <w:rPr>
          <w:rFonts w:cs="Times New Roman"/>
          <w:sz w:val="22"/>
          <w:lang w:val="en-US"/>
        </w:rPr>
        <w:t>Acemoglu</w:t>
      </w:r>
      <w:proofErr w:type="spellEnd"/>
      <w:r w:rsidR="00AC29CA" w:rsidRPr="00BB1D0A">
        <w:rPr>
          <w:rFonts w:cs="Times New Roman"/>
          <w:sz w:val="22"/>
          <w:lang w:val="en-US"/>
        </w:rPr>
        <w:t>, J.</w:t>
      </w:r>
      <w:r w:rsidRPr="00BB1D0A">
        <w:rPr>
          <w:rFonts w:cs="Times New Roman"/>
          <w:sz w:val="22"/>
          <w:lang w:val="en-US"/>
        </w:rPr>
        <w:t xml:space="preserve"> Robinson</w:t>
      </w:r>
      <w:r w:rsidR="00AC29CA" w:rsidRPr="00BB1D0A">
        <w:rPr>
          <w:rFonts w:cs="Times New Roman"/>
          <w:sz w:val="22"/>
          <w:lang w:val="en-US"/>
        </w:rPr>
        <w:t xml:space="preserve">, </w:t>
      </w:r>
      <w:r w:rsidR="00AC29CA" w:rsidRPr="00BB1D0A">
        <w:rPr>
          <w:rFonts w:cs="Times New Roman"/>
          <w:i/>
          <w:sz w:val="22"/>
          <w:lang w:val="en-US"/>
        </w:rPr>
        <w:t>Why Nations Fail, The Origin of Power, Prosperity, and Poverty</w:t>
      </w:r>
      <w:r w:rsidR="00AC29CA" w:rsidRPr="00BB1D0A">
        <w:rPr>
          <w:rFonts w:cs="Times New Roman"/>
          <w:sz w:val="22"/>
          <w:lang w:val="en-US"/>
        </w:rPr>
        <w:t>, Crown Business, 2012.</w:t>
      </w:r>
    </w:p>
  </w:footnote>
  <w:footnote w:id="16">
    <w:p w:rsidR="00A925E9" w:rsidRPr="00BB1D0A" w:rsidRDefault="00A925E9" w:rsidP="00BB1D0A">
      <w:pPr>
        <w:spacing w:line="240" w:lineRule="auto"/>
        <w:rPr>
          <w:rFonts w:cs="Times New Roman"/>
          <w:sz w:val="22"/>
        </w:rPr>
      </w:pPr>
      <w:r w:rsidRPr="00BB1D0A">
        <w:rPr>
          <w:rStyle w:val="Rimandonotaapidipagina"/>
          <w:rFonts w:cs="Times New Roman"/>
          <w:sz w:val="22"/>
        </w:rPr>
        <w:footnoteRef/>
      </w:r>
      <w:r w:rsidR="00415FAA" w:rsidRPr="00BB1D0A">
        <w:rPr>
          <w:rFonts w:cs="Times New Roman"/>
          <w:sz w:val="22"/>
        </w:rPr>
        <w:t>I</w:t>
      </w:r>
      <w:r w:rsidR="00AC29CA" w:rsidRPr="00BB1D0A">
        <w:rPr>
          <w:rFonts w:cs="Times New Roman"/>
          <w:sz w:val="22"/>
        </w:rPr>
        <w:t xml:space="preserve">n </w:t>
      </w:r>
      <w:proofErr w:type="spellStart"/>
      <w:r w:rsidRPr="00BB1D0A">
        <w:rPr>
          <w:rFonts w:cs="Times New Roman"/>
          <w:i/>
          <w:sz w:val="22"/>
        </w:rPr>
        <w:t>Animal</w:t>
      </w:r>
      <w:proofErr w:type="spellEnd"/>
      <w:r w:rsidRPr="00BB1D0A">
        <w:rPr>
          <w:rFonts w:cs="Times New Roman"/>
          <w:i/>
          <w:sz w:val="22"/>
        </w:rPr>
        <w:t xml:space="preserve"> </w:t>
      </w:r>
      <w:proofErr w:type="spellStart"/>
      <w:r w:rsidRPr="00BB1D0A">
        <w:rPr>
          <w:rFonts w:cs="Times New Roman"/>
          <w:i/>
          <w:sz w:val="22"/>
        </w:rPr>
        <w:t>Spirits</w:t>
      </w:r>
      <w:proofErr w:type="spellEnd"/>
      <w:r w:rsidRPr="00BB1D0A">
        <w:rPr>
          <w:rFonts w:cs="Times New Roman"/>
          <w:i/>
          <w:sz w:val="22"/>
        </w:rPr>
        <w:t xml:space="preserve">: How Human </w:t>
      </w:r>
      <w:proofErr w:type="spellStart"/>
      <w:r w:rsidRPr="00BB1D0A">
        <w:rPr>
          <w:rFonts w:cs="Times New Roman"/>
          <w:i/>
          <w:sz w:val="22"/>
        </w:rPr>
        <w:t>Psychology</w:t>
      </w:r>
      <w:proofErr w:type="spellEnd"/>
      <w:r w:rsidRPr="00BB1D0A">
        <w:rPr>
          <w:rFonts w:cs="Times New Roman"/>
          <w:i/>
          <w:sz w:val="22"/>
        </w:rPr>
        <w:t xml:space="preserve"> Drives the Economy, and </w:t>
      </w:r>
      <w:proofErr w:type="spellStart"/>
      <w:r w:rsidRPr="00BB1D0A">
        <w:rPr>
          <w:rFonts w:cs="Times New Roman"/>
          <w:i/>
          <w:sz w:val="22"/>
        </w:rPr>
        <w:t>Why</w:t>
      </w:r>
      <w:proofErr w:type="spellEnd"/>
      <w:r w:rsidRPr="00BB1D0A">
        <w:rPr>
          <w:rFonts w:cs="Times New Roman"/>
          <w:i/>
          <w:sz w:val="22"/>
        </w:rPr>
        <w:t xml:space="preserve"> </w:t>
      </w:r>
      <w:proofErr w:type="spellStart"/>
      <w:r w:rsidRPr="00BB1D0A">
        <w:rPr>
          <w:rFonts w:cs="Times New Roman"/>
          <w:i/>
          <w:sz w:val="22"/>
        </w:rPr>
        <w:t>I</w:t>
      </w:r>
      <w:r w:rsidR="005F2ABC" w:rsidRPr="00BB1D0A">
        <w:rPr>
          <w:rFonts w:cs="Times New Roman"/>
          <w:i/>
          <w:sz w:val="22"/>
        </w:rPr>
        <w:t>t</w:t>
      </w:r>
      <w:proofErr w:type="spellEnd"/>
      <w:r w:rsidR="005F2ABC" w:rsidRPr="00BB1D0A">
        <w:rPr>
          <w:rFonts w:cs="Times New Roman"/>
          <w:i/>
          <w:sz w:val="22"/>
        </w:rPr>
        <w:t xml:space="preserve"> </w:t>
      </w:r>
      <w:proofErr w:type="spellStart"/>
      <w:r w:rsidR="005F2ABC" w:rsidRPr="00BB1D0A">
        <w:rPr>
          <w:rFonts w:cs="Times New Roman"/>
          <w:i/>
          <w:sz w:val="22"/>
        </w:rPr>
        <w:t>Matters</w:t>
      </w:r>
      <w:proofErr w:type="spellEnd"/>
      <w:r w:rsidR="005F2ABC" w:rsidRPr="00BB1D0A">
        <w:rPr>
          <w:rFonts w:cs="Times New Roman"/>
          <w:i/>
          <w:sz w:val="22"/>
        </w:rPr>
        <w:t xml:space="preserve"> for Global </w:t>
      </w:r>
      <w:proofErr w:type="spellStart"/>
      <w:r w:rsidR="005F2ABC" w:rsidRPr="00BB1D0A">
        <w:rPr>
          <w:rFonts w:cs="Times New Roman"/>
          <w:i/>
          <w:sz w:val="22"/>
        </w:rPr>
        <w:t>Capitalism</w:t>
      </w:r>
      <w:proofErr w:type="spellEnd"/>
      <w:r w:rsidR="00AC29CA" w:rsidRPr="00BB1D0A">
        <w:rPr>
          <w:rFonts w:cs="Times New Roman"/>
          <w:sz w:val="22"/>
        </w:rPr>
        <w:t xml:space="preserve">, cit. si </w:t>
      </w:r>
      <w:r w:rsidR="00A03C50" w:rsidRPr="00BB1D0A">
        <w:rPr>
          <w:rFonts w:cs="Times New Roman"/>
          <w:sz w:val="22"/>
        </w:rPr>
        <w:t>t</w:t>
      </w:r>
      <w:r w:rsidR="00AC29CA" w:rsidRPr="00BB1D0A">
        <w:rPr>
          <w:rFonts w:cs="Times New Roman"/>
          <w:sz w:val="22"/>
        </w:rPr>
        <w:t>rova l’esame dei</w:t>
      </w:r>
      <w:r w:rsidR="005F2ABC" w:rsidRPr="00BB1D0A">
        <w:rPr>
          <w:rFonts w:cs="Times New Roman"/>
          <w:sz w:val="22"/>
        </w:rPr>
        <w:t xml:space="preserve"> </w:t>
      </w:r>
      <w:r w:rsidR="00AC29CA" w:rsidRPr="00BB1D0A">
        <w:rPr>
          <w:rFonts w:cs="Times New Roman"/>
          <w:sz w:val="22"/>
        </w:rPr>
        <w:t>cinque aspetti</w:t>
      </w:r>
      <w:r w:rsidRPr="00BB1D0A">
        <w:rPr>
          <w:rFonts w:cs="Times New Roman"/>
          <w:sz w:val="22"/>
        </w:rPr>
        <w:t xml:space="preserve"> degli spiriti </w:t>
      </w:r>
      <w:proofErr w:type="spellStart"/>
      <w:r w:rsidRPr="00BB1D0A">
        <w:rPr>
          <w:rFonts w:cs="Times New Roman"/>
          <w:sz w:val="22"/>
        </w:rPr>
        <w:t>ani</w:t>
      </w:r>
      <w:r w:rsidR="00415FAA" w:rsidRPr="00BB1D0A">
        <w:rPr>
          <w:rFonts w:cs="Times New Roman"/>
          <w:sz w:val="22"/>
        </w:rPr>
        <w:t>t</w:t>
      </w:r>
      <w:r w:rsidRPr="00BB1D0A">
        <w:rPr>
          <w:rFonts w:cs="Times New Roman"/>
          <w:sz w:val="22"/>
        </w:rPr>
        <w:t>mali</w:t>
      </w:r>
      <w:proofErr w:type="spellEnd"/>
      <w:r w:rsidRPr="00BB1D0A">
        <w:rPr>
          <w:rFonts w:cs="Times New Roman"/>
          <w:sz w:val="22"/>
        </w:rPr>
        <w:t xml:space="preserve"> che influenzano le decisioni e</w:t>
      </w:r>
      <w:r w:rsidR="00AC29CA" w:rsidRPr="00BB1D0A">
        <w:rPr>
          <w:rFonts w:cs="Times New Roman"/>
          <w:sz w:val="22"/>
        </w:rPr>
        <w:t>conomiche: fiducia, correttezza</w:t>
      </w:r>
      <w:r w:rsidRPr="00BB1D0A">
        <w:rPr>
          <w:rFonts w:cs="Times New Roman"/>
          <w:sz w:val="22"/>
        </w:rPr>
        <w:t>, corruzione e comportamenti antisociali, illusioni sulla moneta e storie</w:t>
      </w:r>
      <w:r w:rsidR="00A03C50" w:rsidRPr="00BB1D0A">
        <w:rPr>
          <w:rFonts w:cs="Times New Roman"/>
          <w:sz w:val="22"/>
        </w:rPr>
        <w:t>.</w:t>
      </w:r>
      <w:r w:rsidR="00415FAA" w:rsidRPr="00BB1D0A">
        <w:rPr>
          <w:rFonts w:cs="Times New Roman"/>
          <w:sz w:val="22"/>
        </w:rPr>
        <w:t xml:space="preserve"> </w:t>
      </w:r>
    </w:p>
  </w:footnote>
  <w:footnote w:id="17">
    <w:p w:rsidR="00B9371A" w:rsidRPr="00BB1D0A" w:rsidRDefault="00B9371A" w:rsidP="00BB1D0A">
      <w:pPr>
        <w:pStyle w:val="Testonotaapidipagina"/>
        <w:rPr>
          <w:rFonts w:cs="Times New Roman"/>
          <w:sz w:val="22"/>
          <w:szCs w:val="22"/>
          <w:lang w:val="en-US"/>
        </w:rPr>
      </w:pPr>
      <w:r w:rsidRPr="00BB1D0A">
        <w:rPr>
          <w:rStyle w:val="Rimandonotaapidipagina"/>
          <w:rFonts w:cs="Times New Roman"/>
          <w:sz w:val="22"/>
          <w:szCs w:val="22"/>
        </w:rPr>
        <w:footnoteRef/>
      </w:r>
      <w:r w:rsidRPr="00BB1D0A">
        <w:rPr>
          <w:rFonts w:cs="Times New Roman"/>
          <w:sz w:val="22"/>
          <w:szCs w:val="22"/>
          <w:lang w:val="en-US"/>
        </w:rPr>
        <w:t xml:space="preserve"> D. </w:t>
      </w:r>
      <w:proofErr w:type="spellStart"/>
      <w:r w:rsidRPr="00BB1D0A">
        <w:rPr>
          <w:rFonts w:cs="Times New Roman"/>
          <w:sz w:val="22"/>
          <w:szCs w:val="22"/>
          <w:lang w:val="en-US"/>
        </w:rPr>
        <w:t>Rodrik</w:t>
      </w:r>
      <w:proofErr w:type="spellEnd"/>
      <w:r w:rsidR="00AC29CA" w:rsidRPr="00BB1D0A">
        <w:rPr>
          <w:rFonts w:cs="Times New Roman"/>
          <w:sz w:val="22"/>
          <w:szCs w:val="22"/>
          <w:lang w:val="en-US"/>
        </w:rPr>
        <w:t>,</w:t>
      </w:r>
      <w:r w:rsidR="00415FAA" w:rsidRPr="00BB1D0A">
        <w:rPr>
          <w:rFonts w:cs="Times New Roman"/>
          <w:sz w:val="22"/>
          <w:szCs w:val="22"/>
          <w:lang w:val="en-US"/>
        </w:rPr>
        <w:t xml:space="preserve"> </w:t>
      </w:r>
      <w:r w:rsidR="00415FAA" w:rsidRPr="00BB1D0A">
        <w:rPr>
          <w:rFonts w:cs="Times New Roman"/>
          <w:i/>
          <w:sz w:val="22"/>
          <w:szCs w:val="22"/>
          <w:lang w:val="en-US"/>
        </w:rPr>
        <w:t>One Economics, Many Recipes: Globalization, Institutions, and Economic Growth</w:t>
      </w:r>
      <w:r w:rsidR="00415FAA" w:rsidRPr="00BB1D0A">
        <w:rPr>
          <w:rFonts w:cs="Times New Roman"/>
          <w:sz w:val="22"/>
          <w:szCs w:val="22"/>
          <w:lang w:val="en-US"/>
        </w:rPr>
        <w:t>, Princeton University Press, 2009</w:t>
      </w:r>
      <w:r w:rsidR="00AC29CA" w:rsidRPr="00BB1D0A">
        <w:rPr>
          <w:rFonts w:cs="Times New Roman"/>
          <w:sz w:val="22"/>
          <w:szCs w:val="22"/>
          <w:lang w:val="en-US"/>
        </w:rPr>
        <w:t>.</w:t>
      </w:r>
    </w:p>
  </w:footnote>
  <w:footnote w:id="18">
    <w:p w:rsidR="00B86E5C" w:rsidRPr="00BB1D0A" w:rsidRDefault="00B86E5C" w:rsidP="00BB1D0A">
      <w:pPr>
        <w:pStyle w:val="Testonotaapidipagina"/>
        <w:rPr>
          <w:rFonts w:cs="Times New Roman"/>
          <w:sz w:val="22"/>
          <w:szCs w:val="22"/>
        </w:rPr>
      </w:pPr>
      <w:r w:rsidRPr="00BB1D0A">
        <w:rPr>
          <w:rStyle w:val="Rimandonotaapidipagina"/>
          <w:rFonts w:cs="Times New Roman"/>
          <w:sz w:val="22"/>
          <w:szCs w:val="22"/>
        </w:rPr>
        <w:footnoteRef/>
      </w:r>
      <w:r w:rsidRPr="00BB1D0A">
        <w:rPr>
          <w:rFonts w:cs="Times New Roman"/>
          <w:sz w:val="22"/>
          <w:szCs w:val="22"/>
        </w:rPr>
        <w:t xml:space="preserve"> </w:t>
      </w:r>
      <w:r w:rsidR="00004024" w:rsidRPr="00BB1D0A">
        <w:rPr>
          <w:rFonts w:cs="Times New Roman"/>
          <w:sz w:val="22"/>
          <w:szCs w:val="22"/>
        </w:rPr>
        <w:t xml:space="preserve">Si pensi al giudizio di Bobbio sulla </w:t>
      </w:r>
      <w:r w:rsidRPr="00BB1D0A">
        <w:rPr>
          <w:rFonts w:cs="Times New Roman"/>
          <w:sz w:val="22"/>
          <w:szCs w:val="22"/>
        </w:rPr>
        <w:t>sc</w:t>
      </w:r>
      <w:r w:rsidR="005F2ABC" w:rsidRPr="00BB1D0A">
        <w:rPr>
          <w:rFonts w:cs="Times New Roman"/>
          <w:sz w:val="22"/>
          <w:szCs w:val="22"/>
        </w:rPr>
        <w:t>i</w:t>
      </w:r>
      <w:r w:rsidRPr="00BB1D0A">
        <w:rPr>
          <w:rFonts w:cs="Times New Roman"/>
          <w:sz w:val="22"/>
          <w:szCs w:val="22"/>
        </w:rPr>
        <w:t>e</w:t>
      </w:r>
      <w:r w:rsidR="005F2ABC" w:rsidRPr="00BB1D0A">
        <w:rPr>
          <w:rFonts w:cs="Times New Roman"/>
          <w:sz w:val="22"/>
          <w:szCs w:val="22"/>
        </w:rPr>
        <w:t>n</w:t>
      </w:r>
      <w:r w:rsidRPr="00BB1D0A">
        <w:rPr>
          <w:rFonts w:cs="Times New Roman"/>
          <w:sz w:val="22"/>
          <w:szCs w:val="22"/>
        </w:rPr>
        <w:t xml:space="preserve">za giuridica </w:t>
      </w:r>
      <w:r w:rsidR="00004024" w:rsidRPr="00BB1D0A">
        <w:rPr>
          <w:rFonts w:cs="Times New Roman"/>
          <w:sz w:val="22"/>
          <w:szCs w:val="22"/>
        </w:rPr>
        <w:t>“</w:t>
      </w:r>
      <w:r w:rsidRPr="00BB1D0A">
        <w:rPr>
          <w:rFonts w:cs="Times New Roman"/>
          <w:sz w:val="22"/>
          <w:szCs w:val="22"/>
        </w:rPr>
        <w:t>rannicchiata</w:t>
      </w:r>
      <w:r w:rsidR="00004024" w:rsidRPr="00BB1D0A">
        <w:rPr>
          <w:rFonts w:cs="Times New Roman"/>
          <w:sz w:val="22"/>
          <w:szCs w:val="22"/>
        </w:rPr>
        <w:t>” nel formalismo</w:t>
      </w:r>
      <w:r w:rsidRPr="00BB1D0A">
        <w:rPr>
          <w:rFonts w:cs="Times New Roman"/>
          <w:sz w:val="22"/>
          <w:szCs w:val="22"/>
        </w:rPr>
        <w:t xml:space="preserve"> durante il fascismo</w:t>
      </w:r>
      <w:r w:rsidR="00415FAA" w:rsidRPr="00BB1D0A">
        <w:rPr>
          <w:rFonts w:cs="Times New Roman"/>
          <w:sz w:val="22"/>
          <w:szCs w:val="22"/>
        </w:rPr>
        <w:t xml:space="preserve"> (</w:t>
      </w:r>
      <w:r w:rsidR="00C57CE6">
        <w:t>N. B</w:t>
      </w:r>
      <w:r w:rsidR="00C57CE6">
        <w:t>obbio</w:t>
      </w:r>
      <w:r w:rsidR="00C57CE6">
        <w:t xml:space="preserve">, </w:t>
      </w:r>
      <w:r w:rsidR="00C57CE6" w:rsidRPr="00C57CE6">
        <w:rPr>
          <w:i/>
        </w:rPr>
        <w:t>La cultura e il fascismo</w:t>
      </w:r>
      <w:r w:rsidR="00C57CE6">
        <w:t xml:space="preserve">, in </w:t>
      </w:r>
      <w:r w:rsidR="00C57CE6" w:rsidRPr="00C57CE6">
        <w:rPr>
          <w:i/>
        </w:rPr>
        <w:t>Fascismo e società italiana</w:t>
      </w:r>
      <w:r w:rsidR="00C57CE6">
        <w:t xml:space="preserve">, a cura di G. </w:t>
      </w:r>
      <w:proofErr w:type="spellStart"/>
      <w:r w:rsidR="00C57CE6">
        <w:t>Quazza</w:t>
      </w:r>
      <w:proofErr w:type="spellEnd"/>
      <w:r w:rsidR="00C57CE6">
        <w:t>, Einaudi, Torino, 1973, p. 214</w:t>
      </w:r>
      <w:r w:rsidR="00415FAA" w:rsidRPr="00BB1D0A">
        <w:rPr>
          <w:rFonts w:cs="Times New Roman"/>
          <w:sz w:val="22"/>
          <w:szCs w:val="22"/>
        </w:rPr>
        <w:t>).</w:t>
      </w:r>
      <w:r w:rsidRPr="00BB1D0A">
        <w:rPr>
          <w:rFonts w:cs="Times New Roman"/>
          <w:sz w:val="22"/>
          <w:szCs w:val="22"/>
        </w:rPr>
        <w:t xml:space="preserve"> </w:t>
      </w:r>
      <w:r w:rsidR="00415FAA" w:rsidRPr="00BB1D0A">
        <w:rPr>
          <w:rFonts w:cs="Times New Roman"/>
          <w:sz w:val="22"/>
          <w:szCs w:val="22"/>
        </w:rPr>
        <w:t>S</w:t>
      </w:r>
      <w:r w:rsidRPr="00BB1D0A">
        <w:rPr>
          <w:rFonts w:cs="Times New Roman"/>
          <w:sz w:val="22"/>
          <w:szCs w:val="22"/>
        </w:rPr>
        <w:t xml:space="preserve">e </w:t>
      </w:r>
      <w:r w:rsidR="00004024" w:rsidRPr="00BB1D0A">
        <w:rPr>
          <w:rFonts w:cs="Times New Roman"/>
          <w:sz w:val="22"/>
          <w:szCs w:val="22"/>
        </w:rPr>
        <w:t xml:space="preserve">la scienza </w:t>
      </w:r>
      <w:r w:rsidRPr="00BB1D0A">
        <w:rPr>
          <w:rFonts w:cs="Times New Roman"/>
          <w:sz w:val="22"/>
          <w:szCs w:val="22"/>
        </w:rPr>
        <w:t>avesse guardato ai fatti</w:t>
      </w:r>
      <w:r w:rsidR="00004024" w:rsidRPr="00BB1D0A">
        <w:rPr>
          <w:rFonts w:cs="Times New Roman"/>
          <w:sz w:val="22"/>
          <w:szCs w:val="22"/>
        </w:rPr>
        <w:t xml:space="preserve"> e non si fosse nascosta dietro l’esegesi delle norme</w:t>
      </w:r>
      <w:r w:rsidRPr="00BB1D0A">
        <w:rPr>
          <w:rFonts w:cs="Times New Roman"/>
          <w:sz w:val="22"/>
          <w:szCs w:val="22"/>
        </w:rPr>
        <w:t xml:space="preserve">, non sarebbero stati </w:t>
      </w:r>
      <w:r w:rsidR="00415FAA" w:rsidRPr="00BB1D0A">
        <w:rPr>
          <w:rFonts w:cs="Times New Roman"/>
          <w:sz w:val="22"/>
          <w:szCs w:val="22"/>
        </w:rPr>
        <w:t xml:space="preserve">scritti </w:t>
      </w:r>
      <w:r w:rsidRPr="00BB1D0A">
        <w:rPr>
          <w:rFonts w:cs="Times New Roman"/>
          <w:sz w:val="22"/>
          <w:szCs w:val="22"/>
        </w:rPr>
        <w:t>manuali di diritto corporativo e</w:t>
      </w:r>
      <w:r w:rsidR="00004024" w:rsidRPr="00BB1D0A">
        <w:rPr>
          <w:rFonts w:cs="Times New Roman"/>
          <w:sz w:val="22"/>
          <w:szCs w:val="22"/>
        </w:rPr>
        <w:t>, forse,</w:t>
      </w:r>
      <w:r w:rsidRPr="00BB1D0A">
        <w:rPr>
          <w:rFonts w:cs="Times New Roman"/>
          <w:sz w:val="22"/>
          <w:szCs w:val="22"/>
        </w:rPr>
        <w:t xml:space="preserve"> non sarebbero stati </w:t>
      </w:r>
      <w:r w:rsidR="00004024" w:rsidRPr="00BB1D0A">
        <w:rPr>
          <w:rFonts w:cs="Times New Roman"/>
          <w:sz w:val="22"/>
          <w:szCs w:val="22"/>
        </w:rPr>
        <w:t>così pochi</w:t>
      </w:r>
      <w:r w:rsidRPr="00BB1D0A">
        <w:rPr>
          <w:rFonts w:cs="Times New Roman"/>
          <w:sz w:val="22"/>
          <w:szCs w:val="22"/>
        </w:rPr>
        <w:t xml:space="preserve"> i professori </w:t>
      </w:r>
      <w:r w:rsidR="00004024" w:rsidRPr="00BB1D0A">
        <w:rPr>
          <w:rFonts w:cs="Times New Roman"/>
          <w:sz w:val="22"/>
          <w:szCs w:val="22"/>
        </w:rPr>
        <w:t xml:space="preserve">di diritto </w:t>
      </w:r>
      <w:r w:rsidRPr="00BB1D0A">
        <w:rPr>
          <w:rFonts w:cs="Times New Roman"/>
          <w:sz w:val="22"/>
          <w:szCs w:val="22"/>
        </w:rPr>
        <w:t xml:space="preserve">che </w:t>
      </w:r>
      <w:r w:rsidR="00415FAA" w:rsidRPr="00BB1D0A">
        <w:rPr>
          <w:rFonts w:cs="Times New Roman"/>
          <w:sz w:val="22"/>
          <w:szCs w:val="22"/>
        </w:rPr>
        <w:t xml:space="preserve">rifiutarono di </w:t>
      </w:r>
      <w:r w:rsidRPr="00BB1D0A">
        <w:rPr>
          <w:rFonts w:cs="Times New Roman"/>
          <w:sz w:val="22"/>
          <w:szCs w:val="22"/>
        </w:rPr>
        <w:t>giurar</w:t>
      </w:r>
      <w:r w:rsidR="00415FAA" w:rsidRPr="00BB1D0A">
        <w:rPr>
          <w:rFonts w:cs="Times New Roman"/>
          <w:sz w:val="22"/>
          <w:szCs w:val="22"/>
        </w:rPr>
        <w:t>e</w:t>
      </w:r>
      <w:r w:rsidR="00004024" w:rsidRPr="00BB1D0A">
        <w:rPr>
          <w:rFonts w:cs="Times New Roman"/>
          <w:sz w:val="22"/>
          <w:szCs w:val="22"/>
        </w:rPr>
        <w:t xml:space="preserve"> fedeltà al fascismo</w:t>
      </w:r>
      <w:r w:rsidR="009A1993">
        <w:rPr>
          <w:rFonts w:cs="Times New Roman"/>
          <w:sz w:val="22"/>
          <w:szCs w:val="22"/>
        </w:rPr>
        <w:t xml:space="preserve"> (</w:t>
      </w:r>
      <w:r w:rsidR="009A1993">
        <w:rPr>
          <w:rFonts w:ascii="Arial" w:hAnsi="Arial" w:cs="Arial"/>
          <w:color w:val="4B4B4B"/>
          <w:sz w:val="21"/>
          <w:szCs w:val="21"/>
          <w:shd w:val="clear" w:color="auto" w:fill="FFFFFF"/>
        </w:rPr>
        <w:t xml:space="preserve">Francesco </w:t>
      </w:r>
      <w:r w:rsidR="009A1993">
        <w:rPr>
          <w:rFonts w:ascii="Arial" w:hAnsi="Arial" w:cs="Arial"/>
          <w:color w:val="4B4B4B"/>
          <w:sz w:val="21"/>
          <w:szCs w:val="21"/>
          <w:shd w:val="clear" w:color="auto" w:fill="FFFFFF"/>
        </w:rPr>
        <w:t>Ruffini,</w:t>
      </w:r>
      <w:r w:rsidR="009A1993">
        <w:rPr>
          <w:rFonts w:ascii="Arial" w:hAnsi="Arial" w:cs="Arial"/>
          <w:color w:val="4B4B4B"/>
          <w:sz w:val="21"/>
          <w:szCs w:val="21"/>
          <w:shd w:val="clear" w:color="auto" w:fill="FFFFFF"/>
        </w:rPr>
        <w:t xml:space="preserve"> Edoardo Ruffini, Fabio Luzzatto</w:t>
      </w:r>
      <w:r w:rsidR="009A1993">
        <w:rPr>
          <w:rFonts w:ascii="Arial" w:hAnsi="Arial" w:cs="Arial"/>
          <w:color w:val="4B4B4B"/>
          <w:sz w:val="21"/>
          <w:szCs w:val="21"/>
          <w:shd w:val="clear" w:color="auto" w:fill="FFFFFF"/>
        </w:rPr>
        <w:t>)</w:t>
      </w:r>
      <w:r w:rsidR="00004024" w:rsidRPr="00BB1D0A">
        <w:rPr>
          <w:rFonts w:cs="Times New Roman"/>
          <w:sz w:val="22"/>
          <w:szCs w:val="22"/>
        </w:rPr>
        <w:t>.</w:t>
      </w:r>
    </w:p>
  </w:footnote>
  <w:footnote w:id="19">
    <w:p w:rsidR="004352B9" w:rsidRPr="00BB1D0A" w:rsidRDefault="004352B9" w:rsidP="00BB1D0A">
      <w:pPr>
        <w:spacing w:line="240" w:lineRule="auto"/>
        <w:rPr>
          <w:rFonts w:cs="Times New Roman"/>
          <w:sz w:val="22"/>
          <w:lang w:val="en-US"/>
        </w:rPr>
      </w:pPr>
      <w:r w:rsidRPr="00BB1D0A">
        <w:rPr>
          <w:rStyle w:val="Rimandonotaapidipagina"/>
          <w:rFonts w:cs="Times New Roman"/>
          <w:sz w:val="22"/>
        </w:rPr>
        <w:footnoteRef/>
      </w:r>
      <w:r w:rsidRPr="00BB1D0A">
        <w:rPr>
          <w:rFonts w:cs="Times New Roman"/>
          <w:sz w:val="22"/>
          <w:lang w:val="en-US"/>
        </w:rPr>
        <w:t xml:space="preserve"> </w:t>
      </w:r>
      <w:r w:rsidR="00004024" w:rsidRPr="00BB1D0A">
        <w:rPr>
          <w:rFonts w:cs="Times New Roman"/>
          <w:sz w:val="22"/>
          <w:lang w:val="en-US"/>
        </w:rPr>
        <w:t xml:space="preserve">R Posner, </w:t>
      </w:r>
      <w:r w:rsidR="00A03C50" w:rsidRPr="00BB1D0A">
        <w:rPr>
          <w:rFonts w:cs="Times New Roman"/>
          <w:i/>
          <w:sz w:val="22"/>
          <w:lang w:val="en-US"/>
        </w:rPr>
        <w:t>A Failure of Capitalism. The Crisis of '08 and the Descent into Depression</w:t>
      </w:r>
      <w:r w:rsidR="00A03C50" w:rsidRPr="00BB1D0A">
        <w:rPr>
          <w:rFonts w:cs="Times New Roman"/>
          <w:sz w:val="22"/>
          <w:lang w:val="en-US"/>
        </w:rPr>
        <w:t>, Harvard U</w:t>
      </w:r>
      <w:r w:rsidR="00004024" w:rsidRPr="00BB1D0A">
        <w:rPr>
          <w:rFonts w:cs="Times New Roman"/>
          <w:sz w:val="22"/>
          <w:lang w:val="en-US"/>
        </w:rPr>
        <w:t>niversity Press, 2009.</w:t>
      </w:r>
      <w:r w:rsidR="00A03C50" w:rsidRPr="00BB1D0A">
        <w:rPr>
          <w:i/>
          <w:iCs/>
          <w:sz w:val="22"/>
          <w:lang w:val="en-US"/>
        </w:rPr>
        <w:t xml:space="preserve"> </w:t>
      </w:r>
    </w:p>
  </w:footnote>
  <w:footnote w:id="20">
    <w:p w:rsidR="0098694F" w:rsidRPr="00BB1D0A" w:rsidRDefault="0098694F" w:rsidP="00BB1D0A">
      <w:pPr>
        <w:pStyle w:val="Testonotaapidipagina"/>
        <w:rPr>
          <w:rFonts w:cs="Times New Roman"/>
          <w:sz w:val="22"/>
          <w:szCs w:val="22"/>
        </w:rPr>
      </w:pPr>
      <w:r w:rsidRPr="00BB1D0A">
        <w:rPr>
          <w:rStyle w:val="Rimandonotaapidipagina"/>
          <w:rFonts w:cs="Times New Roman"/>
          <w:sz w:val="22"/>
          <w:szCs w:val="22"/>
        </w:rPr>
        <w:footnoteRef/>
      </w:r>
      <w:r w:rsidRPr="00BB1D0A">
        <w:rPr>
          <w:rFonts w:cs="Times New Roman"/>
          <w:sz w:val="22"/>
          <w:szCs w:val="22"/>
        </w:rPr>
        <w:t xml:space="preserve">  </w:t>
      </w:r>
      <w:r w:rsidR="00004024" w:rsidRPr="00BB1D0A">
        <w:rPr>
          <w:rFonts w:cs="Times New Roman"/>
          <w:sz w:val="22"/>
          <w:szCs w:val="22"/>
        </w:rPr>
        <w:t>Due giorni dopo aver giurato come presidente, Roo</w:t>
      </w:r>
      <w:r w:rsidRPr="00BB1D0A">
        <w:rPr>
          <w:rFonts w:cs="Times New Roman"/>
          <w:sz w:val="22"/>
          <w:szCs w:val="22"/>
        </w:rPr>
        <w:t xml:space="preserve">sevelt </w:t>
      </w:r>
      <w:r w:rsidR="00004024" w:rsidRPr="00BB1D0A">
        <w:rPr>
          <w:rFonts w:cs="Times New Roman"/>
          <w:sz w:val="22"/>
          <w:szCs w:val="22"/>
        </w:rPr>
        <w:t xml:space="preserve">decretò una </w:t>
      </w:r>
      <w:r w:rsidRPr="00BB1D0A">
        <w:rPr>
          <w:rFonts w:cs="Times New Roman"/>
          <w:sz w:val="22"/>
          <w:szCs w:val="22"/>
        </w:rPr>
        <w:t>"</w:t>
      </w:r>
      <w:proofErr w:type="spellStart"/>
      <w:r w:rsidR="00004024" w:rsidRPr="00BB1D0A">
        <w:rPr>
          <w:rFonts w:cs="Times New Roman"/>
          <w:i/>
          <w:sz w:val="22"/>
          <w:szCs w:val="22"/>
        </w:rPr>
        <w:t>bank</w:t>
      </w:r>
      <w:proofErr w:type="spellEnd"/>
      <w:r w:rsidR="00004024" w:rsidRPr="00BB1D0A">
        <w:rPr>
          <w:rFonts w:cs="Times New Roman"/>
          <w:i/>
          <w:sz w:val="22"/>
          <w:szCs w:val="22"/>
        </w:rPr>
        <w:t xml:space="preserve"> </w:t>
      </w:r>
      <w:proofErr w:type="spellStart"/>
      <w:r w:rsidR="00004024" w:rsidRPr="00BB1D0A">
        <w:rPr>
          <w:rFonts w:cs="Times New Roman"/>
          <w:i/>
          <w:sz w:val="22"/>
          <w:szCs w:val="22"/>
        </w:rPr>
        <w:t>holiday</w:t>
      </w:r>
      <w:proofErr w:type="spellEnd"/>
      <w:r w:rsidRPr="00BB1D0A">
        <w:rPr>
          <w:rFonts w:cs="Times New Roman"/>
          <w:sz w:val="22"/>
          <w:szCs w:val="22"/>
        </w:rPr>
        <w:t>"</w:t>
      </w:r>
      <w:r w:rsidR="00004024" w:rsidRPr="00BB1D0A">
        <w:rPr>
          <w:rFonts w:cs="Times New Roman"/>
          <w:sz w:val="22"/>
          <w:szCs w:val="22"/>
        </w:rPr>
        <w:t xml:space="preserve">, che durò dal 6 al 10 marzo 1933. Negli stessi giorni il presidente presentò al Congresso un </w:t>
      </w:r>
      <w:r w:rsidR="00004024" w:rsidRPr="00BB1D0A">
        <w:rPr>
          <w:rFonts w:cs="Times New Roman"/>
          <w:i/>
          <w:sz w:val="22"/>
          <w:szCs w:val="22"/>
        </w:rPr>
        <w:t xml:space="preserve">Emergency Banking </w:t>
      </w:r>
      <w:proofErr w:type="spellStart"/>
      <w:r w:rsidR="00004024" w:rsidRPr="00BB1D0A">
        <w:rPr>
          <w:rFonts w:cs="Times New Roman"/>
          <w:i/>
          <w:sz w:val="22"/>
          <w:szCs w:val="22"/>
        </w:rPr>
        <w:t>Act</w:t>
      </w:r>
      <w:proofErr w:type="spellEnd"/>
      <w:r w:rsidR="00004024" w:rsidRPr="00BB1D0A">
        <w:rPr>
          <w:rFonts w:cs="Times New Roman"/>
          <w:sz w:val="22"/>
          <w:szCs w:val="22"/>
        </w:rPr>
        <w:t xml:space="preserve"> che consentiva al presidente, tramite il dipartimento del Tesoro, </w:t>
      </w:r>
      <w:r w:rsidR="00ED14F8" w:rsidRPr="00BB1D0A">
        <w:rPr>
          <w:rFonts w:cs="Times New Roman"/>
          <w:sz w:val="22"/>
          <w:szCs w:val="22"/>
        </w:rPr>
        <w:t>di</w:t>
      </w:r>
      <w:r w:rsidR="00004024" w:rsidRPr="00BB1D0A">
        <w:rPr>
          <w:rFonts w:cs="Times New Roman"/>
          <w:sz w:val="22"/>
          <w:szCs w:val="22"/>
        </w:rPr>
        <w:t xml:space="preserve"> riaprire le banche solventi e di prestare assistenza alle banche insolventi. La Camera dei rappresentati approvò il testo all’unanimità dopo quaranta minuti di dibattito e subito dopo </w:t>
      </w:r>
      <w:r w:rsidRPr="00BB1D0A">
        <w:rPr>
          <w:rFonts w:cs="Times New Roman"/>
          <w:sz w:val="22"/>
          <w:szCs w:val="22"/>
        </w:rPr>
        <w:t xml:space="preserve"> </w:t>
      </w:r>
      <w:r w:rsidR="00004024" w:rsidRPr="00BB1D0A">
        <w:rPr>
          <w:rFonts w:cs="Times New Roman"/>
          <w:sz w:val="22"/>
          <w:szCs w:val="22"/>
        </w:rPr>
        <w:t>il Senato approvò a sua volta.</w:t>
      </w:r>
    </w:p>
  </w:footnote>
  <w:footnote w:id="21">
    <w:p w:rsidR="00ED14F8" w:rsidRPr="00BB1D0A" w:rsidRDefault="00ED14F8" w:rsidP="00BB1D0A">
      <w:pPr>
        <w:pStyle w:val="Testonotaapidipagina"/>
        <w:rPr>
          <w:rFonts w:cs="Times New Roman"/>
          <w:sz w:val="22"/>
          <w:szCs w:val="22"/>
          <w:lang w:val="en-US"/>
        </w:rPr>
      </w:pPr>
      <w:r w:rsidRPr="00BB1D0A">
        <w:rPr>
          <w:rStyle w:val="Rimandonotaapidipagina"/>
          <w:rFonts w:cs="Times New Roman"/>
          <w:sz w:val="22"/>
          <w:szCs w:val="22"/>
        </w:rPr>
        <w:footnoteRef/>
      </w:r>
      <w:r w:rsidRPr="00BB1D0A">
        <w:rPr>
          <w:rFonts w:cs="Times New Roman"/>
          <w:sz w:val="22"/>
          <w:szCs w:val="22"/>
          <w:lang w:val="en-US"/>
        </w:rPr>
        <w:t xml:space="preserve"> V. M. Aronson. </w:t>
      </w:r>
      <w:r w:rsidRPr="00BB1D0A">
        <w:rPr>
          <w:rFonts w:cs="Times New Roman"/>
          <w:i/>
          <w:sz w:val="22"/>
          <w:szCs w:val="22"/>
          <w:lang w:val="en-US"/>
        </w:rPr>
        <w:t>The Great Depression, This Depression, And Administrative Law</w:t>
      </w:r>
      <w:r w:rsidRPr="00BB1D0A">
        <w:rPr>
          <w:rFonts w:cs="Times New Roman"/>
          <w:sz w:val="22"/>
          <w:szCs w:val="22"/>
          <w:lang w:val="en-US"/>
        </w:rPr>
        <w:t>, in Federal Law Review, Vol. 37, n. 165, 2009.</w:t>
      </w:r>
    </w:p>
  </w:footnote>
  <w:footnote w:id="22">
    <w:p w:rsidR="0001508F" w:rsidRPr="00BB1D0A" w:rsidRDefault="0001508F" w:rsidP="00BB1D0A">
      <w:pPr>
        <w:pStyle w:val="Testonotaapidipagina"/>
        <w:rPr>
          <w:rFonts w:cs="Times New Roman"/>
          <w:sz w:val="22"/>
          <w:szCs w:val="22"/>
          <w:lang w:val="en-US"/>
        </w:rPr>
      </w:pPr>
      <w:r w:rsidRPr="00BB1D0A">
        <w:rPr>
          <w:rStyle w:val="Rimandonotaapidipagina"/>
          <w:rFonts w:cs="Times New Roman"/>
          <w:sz w:val="22"/>
          <w:szCs w:val="22"/>
        </w:rPr>
        <w:footnoteRef/>
      </w:r>
      <w:r w:rsidR="00BE1692" w:rsidRPr="00BB1D0A">
        <w:rPr>
          <w:rFonts w:cs="Times New Roman"/>
          <w:sz w:val="22"/>
          <w:szCs w:val="22"/>
          <w:lang w:val="en-US"/>
        </w:rPr>
        <w:t xml:space="preserve"> V. la </w:t>
      </w:r>
      <w:proofErr w:type="spellStart"/>
      <w:r w:rsidR="00BE1692" w:rsidRPr="00BB1D0A">
        <w:rPr>
          <w:rFonts w:cs="Times New Roman"/>
          <w:sz w:val="22"/>
          <w:szCs w:val="22"/>
          <w:lang w:val="en-US"/>
        </w:rPr>
        <w:t>dettagliata</w:t>
      </w:r>
      <w:proofErr w:type="spellEnd"/>
      <w:r w:rsidR="00BE1692" w:rsidRPr="00BB1D0A">
        <w:rPr>
          <w:rFonts w:cs="Times New Roman"/>
          <w:sz w:val="22"/>
          <w:szCs w:val="22"/>
          <w:lang w:val="en-US"/>
        </w:rPr>
        <w:t xml:space="preserve"> </w:t>
      </w:r>
      <w:proofErr w:type="spellStart"/>
      <w:r w:rsidR="00BE1692" w:rsidRPr="00BB1D0A">
        <w:rPr>
          <w:rFonts w:cs="Times New Roman"/>
          <w:sz w:val="22"/>
          <w:szCs w:val="22"/>
          <w:lang w:val="en-US"/>
        </w:rPr>
        <w:t>ricostruzione</w:t>
      </w:r>
      <w:proofErr w:type="spellEnd"/>
      <w:r w:rsidR="00BE1692" w:rsidRPr="00BB1D0A">
        <w:rPr>
          <w:rFonts w:cs="Times New Roman"/>
          <w:sz w:val="22"/>
          <w:szCs w:val="22"/>
          <w:lang w:val="en-US"/>
        </w:rPr>
        <w:t xml:space="preserve"> di R.G. Kaiser, </w:t>
      </w:r>
      <w:r w:rsidR="00BE1692" w:rsidRPr="00BB1D0A">
        <w:rPr>
          <w:rFonts w:cs="Times New Roman"/>
          <w:i/>
          <w:sz w:val="22"/>
          <w:szCs w:val="22"/>
          <w:lang w:val="en-US"/>
        </w:rPr>
        <w:t>Act of Congress: How America's Essential Institution Works, and How It Doesn't</w:t>
      </w:r>
      <w:r w:rsidR="00BE1692" w:rsidRPr="00BB1D0A">
        <w:rPr>
          <w:rFonts w:cs="Times New Roman"/>
          <w:sz w:val="22"/>
          <w:szCs w:val="22"/>
          <w:lang w:val="en-US"/>
        </w:rPr>
        <w:t>, Vintage, 2014.</w:t>
      </w:r>
    </w:p>
  </w:footnote>
  <w:footnote w:id="23">
    <w:p w:rsidR="00BE1692" w:rsidRPr="00BB1D0A" w:rsidRDefault="00BE1692" w:rsidP="00BB1D0A">
      <w:pPr>
        <w:pStyle w:val="Testonotaapidipagina"/>
        <w:rPr>
          <w:rFonts w:cs="Times New Roman"/>
          <w:sz w:val="22"/>
          <w:szCs w:val="22"/>
          <w:lang w:val="en-US"/>
        </w:rPr>
      </w:pPr>
      <w:r w:rsidRPr="00BB1D0A">
        <w:rPr>
          <w:rStyle w:val="Rimandonotaapidipagina"/>
          <w:rFonts w:cs="Times New Roman"/>
          <w:sz w:val="22"/>
          <w:szCs w:val="22"/>
        </w:rPr>
        <w:footnoteRef/>
      </w:r>
      <w:r w:rsidRPr="00BB1D0A">
        <w:rPr>
          <w:rFonts w:cs="Times New Roman"/>
          <w:sz w:val="22"/>
          <w:szCs w:val="22"/>
          <w:lang w:val="en-US"/>
        </w:rPr>
        <w:t xml:space="preserve"> </w:t>
      </w:r>
      <w:r w:rsidR="00ED14F8" w:rsidRPr="00BB1D0A">
        <w:rPr>
          <w:rFonts w:cs="Times New Roman"/>
          <w:sz w:val="22"/>
          <w:szCs w:val="22"/>
          <w:lang w:val="en-US"/>
        </w:rPr>
        <w:t xml:space="preserve">Per un </w:t>
      </w:r>
      <w:proofErr w:type="spellStart"/>
      <w:r w:rsidR="00ED14F8" w:rsidRPr="00BB1D0A">
        <w:rPr>
          <w:rFonts w:cs="Times New Roman"/>
          <w:sz w:val="22"/>
          <w:szCs w:val="22"/>
          <w:lang w:val="en-US"/>
        </w:rPr>
        <w:t>quadro</w:t>
      </w:r>
      <w:proofErr w:type="spellEnd"/>
      <w:r w:rsidR="00ED14F8" w:rsidRPr="00BB1D0A">
        <w:rPr>
          <w:rFonts w:cs="Times New Roman"/>
          <w:sz w:val="22"/>
          <w:szCs w:val="22"/>
          <w:lang w:val="en-US"/>
        </w:rPr>
        <w:t xml:space="preserve"> </w:t>
      </w:r>
      <w:proofErr w:type="spellStart"/>
      <w:r w:rsidR="00ED14F8" w:rsidRPr="00BB1D0A">
        <w:rPr>
          <w:rFonts w:cs="Times New Roman"/>
          <w:sz w:val="22"/>
          <w:szCs w:val="22"/>
          <w:lang w:val="en-US"/>
        </w:rPr>
        <w:t>d’insieme</w:t>
      </w:r>
      <w:proofErr w:type="spellEnd"/>
      <w:r w:rsidR="00ED14F8" w:rsidRPr="00BB1D0A">
        <w:rPr>
          <w:rFonts w:cs="Times New Roman"/>
          <w:sz w:val="22"/>
          <w:szCs w:val="22"/>
          <w:lang w:val="en-US"/>
        </w:rPr>
        <w:t xml:space="preserve"> v. </w:t>
      </w:r>
      <w:r w:rsidRPr="00BB1D0A">
        <w:rPr>
          <w:rFonts w:cs="Times New Roman"/>
          <w:sz w:val="22"/>
          <w:szCs w:val="22"/>
          <w:lang w:val="en-US"/>
        </w:rPr>
        <w:t xml:space="preserve">S. </w:t>
      </w:r>
      <w:proofErr w:type="spellStart"/>
      <w:r w:rsidRPr="00BB1D0A">
        <w:rPr>
          <w:rFonts w:cs="Times New Roman"/>
          <w:sz w:val="22"/>
          <w:szCs w:val="22"/>
          <w:lang w:val="en-US"/>
        </w:rPr>
        <w:t>Micossi</w:t>
      </w:r>
      <w:proofErr w:type="spellEnd"/>
      <w:r w:rsidRPr="00BB1D0A">
        <w:rPr>
          <w:rFonts w:cs="Times New Roman"/>
          <w:sz w:val="22"/>
          <w:szCs w:val="22"/>
          <w:lang w:val="en-US"/>
        </w:rPr>
        <w:t xml:space="preserve">, </w:t>
      </w:r>
      <w:r w:rsidRPr="00BB1D0A">
        <w:rPr>
          <w:rFonts w:cs="Times New Roman"/>
          <w:i/>
          <w:sz w:val="22"/>
          <w:szCs w:val="22"/>
          <w:lang w:val="en-US"/>
        </w:rPr>
        <w:t>The Monetary Policy of the European central Bank (2002-2015)</w:t>
      </w:r>
      <w:r w:rsidRPr="00BB1D0A">
        <w:rPr>
          <w:rFonts w:cs="Times New Roman"/>
          <w:sz w:val="22"/>
          <w:szCs w:val="22"/>
          <w:lang w:val="en-US"/>
        </w:rPr>
        <w:t xml:space="preserve">, CEPS Special report, </w:t>
      </w:r>
      <w:proofErr w:type="spellStart"/>
      <w:r w:rsidRPr="00BB1D0A">
        <w:rPr>
          <w:rFonts w:cs="Times New Roman"/>
          <w:sz w:val="22"/>
          <w:szCs w:val="22"/>
          <w:lang w:val="en-US"/>
        </w:rPr>
        <w:t>maggio</w:t>
      </w:r>
      <w:proofErr w:type="spellEnd"/>
      <w:r w:rsidRPr="00BB1D0A">
        <w:rPr>
          <w:rFonts w:cs="Times New Roman"/>
          <w:sz w:val="22"/>
          <w:szCs w:val="22"/>
          <w:lang w:val="en-US"/>
        </w:rPr>
        <w:t xml:space="preserve"> 2015.</w:t>
      </w:r>
    </w:p>
  </w:footnote>
  <w:footnote w:id="24">
    <w:p w:rsidR="001A1882" w:rsidRPr="00BB1D0A" w:rsidRDefault="001A1882" w:rsidP="00BB1D0A">
      <w:pPr>
        <w:spacing w:line="240" w:lineRule="auto"/>
        <w:rPr>
          <w:rFonts w:cs="Times New Roman"/>
          <w:sz w:val="22"/>
        </w:rPr>
      </w:pPr>
      <w:r w:rsidRPr="00BB1D0A">
        <w:rPr>
          <w:rStyle w:val="Rimandonotaapidipagina"/>
          <w:rFonts w:cs="Times New Roman"/>
          <w:sz w:val="22"/>
        </w:rPr>
        <w:footnoteRef/>
      </w:r>
      <w:r w:rsidR="00BE1692" w:rsidRPr="00BB1D0A">
        <w:rPr>
          <w:rFonts w:cs="Times New Roman"/>
          <w:sz w:val="22"/>
          <w:lang w:val="en-US"/>
        </w:rPr>
        <w:t xml:space="preserve"> E. </w:t>
      </w:r>
      <w:proofErr w:type="spellStart"/>
      <w:r w:rsidR="00BE1692" w:rsidRPr="00BB1D0A">
        <w:rPr>
          <w:rFonts w:cs="Times New Roman"/>
          <w:sz w:val="22"/>
          <w:lang w:val="en-US"/>
        </w:rPr>
        <w:t>Barucci</w:t>
      </w:r>
      <w:proofErr w:type="spellEnd"/>
      <w:r w:rsidR="00BE1692" w:rsidRPr="00BB1D0A">
        <w:rPr>
          <w:rFonts w:cs="Times New Roman"/>
          <w:sz w:val="22"/>
          <w:lang w:val="en-US"/>
        </w:rPr>
        <w:t xml:space="preserve">, M. </w:t>
      </w:r>
      <w:proofErr w:type="spellStart"/>
      <w:r w:rsidR="00BE1692" w:rsidRPr="00BB1D0A">
        <w:rPr>
          <w:rFonts w:cs="Times New Roman"/>
          <w:sz w:val="22"/>
          <w:lang w:val="en-US"/>
        </w:rPr>
        <w:t>Messori</w:t>
      </w:r>
      <w:proofErr w:type="spellEnd"/>
      <w:r w:rsidR="00BE1692" w:rsidRPr="00BB1D0A">
        <w:rPr>
          <w:rFonts w:cs="Times New Roman"/>
          <w:sz w:val="22"/>
          <w:lang w:val="en-US"/>
        </w:rPr>
        <w:t xml:space="preserve"> (a </w:t>
      </w:r>
      <w:proofErr w:type="spellStart"/>
      <w:r w:rsidR="00BE1692" w:rsidRPr="00BB1D0A">
        <w:rPr>
          <w:rFonts w:cs="Times New Roman"/>
          <w:sz w:val="22"/>
          <w:lang w:val="en-US"/>
        </w:rPr>
        <w:t>cura</w:t>
      </w:r>
      <w:proofErr w:type="spellEnd"/>
      <w:r w:rsidR="00BE1692" w:rsidRPr="00BB1D0A">
        <w:rPr>
          <w:rFonts w:cs="Times New Roman"/>
          <w:sz w:val="22"/>
          <w:lang w:val="en-US"/>
        </w:rPr>
        <w:t xml:space="preserve"> di)</w:t>
      </w:r>
      <w:r w:rsidR="00A03C50" w:rsidRPr="00BB1D0A">
        <w:rPr>
          <w:rFonts w:cs="Times New Roman"/>
          <w:sz w:val="22"/>
          <w:lang w:val="en-US"/>
        </w:rPr>
        <w:t>,</w:t>
      </w:r>
      <w:r w:rsidR="00BE1692" w:rsidRPr="00BB1D0A">
        <w:rPr>
          <w:rFonts w:cs="Times New Roman"/>
          <w:sz w:val="22"/>
          <w:lang w:val="en-US"/>
        </w:rPr>
        <w:t xml:space="preserve"> </w:t>
      </w:r>
      <w:r w:rsidR="00BE1692" w:rsidRPr="00BB1D0A">
        <w:rPr>
          <w:rFonts w:cs="Times New Roman"/>
          <w:i/>
          <w:sz w:val="22"/>
          <w:lang w:val="en-US"/>
        </w:rPr>
        <w:t>Towards the European Banking Union</w:t>
      </w:r>
      <w:r w:rsidR="00BE1692" w:rsidRPr="00BB1D0A">
        <w:rPr>
          <w:rFonts w:cs="Times New Roman"/>
          <w:sz w:val="22"/>
          <w:lang w:val="en-US"/>
        </w:rPr>
        <w:t xml:space="preserve">. </w:t>
      </w:r>
      <w:proofErr w:type="spellStart"/>
      <w:r w:rsidR="00BE1692" w:rsidRPr="00BB1D0A">
        <w:rPr>
          <w:rFonts w:cs="Times New Roman"/>
          <w:sz w:val="22"/>
        </w:rPr>
        <w:t>Passigli</w:t>
      </w:r>
      <w:proofErr w:type="spellEnd"/>
      <w:r w:rsidR="00BE1692" w:rsidRPr="00BB1D0A">
        <w:rPr>
          <w:rFonts w:cs="Times New Roman"/>
          <w:sz w:val="22"/>
        </w:rPr>
        <w:t xml:space="preserve">, 2014; L. Torchia, </w:t>
      </w:r>
      <w:r w:rsidR="00BE1692" w:rsidRPr="00BB1D0A">
        <w:rPr>
          <w:rFonts w:cs="Times New Roman"/>
          <w:i/>
          <w:sz w:val="22"/>
        </w:rPr>
        <w:t>L’Unione bancaria europea: un approccio continentale?</w:t>
      </w:r>
      <w:r w:rsidR="00BE1692" w:rsidRPr="00BB1D0A">
        <w:rPr>
          <w:rFonts w:cs="Times New Roman"/>
          <w:sz w:val="22"/>
        </w:rPr>
        <w:t xml:space="preserve">, in </w:t>
      </w:r>
      <w:r w:rsidR="00BE1692" w:rsidRPr="00BB1D0A">
        <w:rPr>
          <w:rFonts w:cs="Times New Roman"/>
          <w:i/>
          <w:sz w:val="22"/>
        </w:rPr>
        <w:t>Giornale di diritto amministrativo</w:t>
      </w:r>
      <w:r w:rsidR="00ED14F8" w:rsidRPr="00BB1D0A">
        <w:rPr>
          <w:rFonts w:cs="Times New Roman"/>
          <w:sz w:val="22"/>
        </w:rPr>
        <w:t>, n. 1, 2015.</w:t>
      </w:r>
    </w:p>
  </w:footnote>
  <w:footnote w:id="25">
    <w:p w:rsidR="00ED14F8" w:rsidRPr="00BB1D0A" w:rsidRDefault="00ED14F8" w:rsidP="00BB1D0A">
      <w:pPr>
        <w:pStyle w:val="Testonotaapidipagina"/>
        <w:rPr>
          <w:rFonts w:cs="Times New Roman"/>
          <w:sz w:val="22"/>
          <w:szCs w:val="22"/>
          <w:lang w:val="en-US"/>
        </w:rPr>
      </w:pPr>
      <w:r w:rsidRPr="00BB1D0A">
        <w:rPr>
          <w:rStyle w:val="Rimandonotaapidipagina"/>
          <w:rFonts w:cs="Times New Roman"/>
          <w:sz w:val="22"/>
          <w:szCs w:val="22"/>
        </w:rPr>
        <w:footnoteRef/>
      </w:r>
      <w:r w:rsidRPr="00BB1D0A">
        <w:rPr>
          <w:rFonts w:cs="Times New Roman"/>
          <w:sz w:val="22"/>
          <w:szCs w:val="22"/>
          <w:lang w:val="en-US"/>
        </w:rPr>
        <w:t xml:space="preserve"> Sulla </w:t>
      </w:r>
      <w:proofErr w:type="spellStart"/>
      <w:r w:rsidRPr="00BB1D0A">
        <w:rPr>
          <w:rFonts w:cs="Times New Roman"/>
          <w:sz w:val="22"/>
          <w:szCs w:val="22"/>
          <w:lang w:val="en-US"/>
        </w:rPr>
        <w:t>ciclicità</w:t>
      </w:r>
      <w:proofErr w:type="spellEnd"/>
      <w:r w:rsidRPr="00BB1D0A">
        <w:rPr>
          <w:rFonts w:cs="Times New Roman"/>
          <w:sz w:val="22"/>
          <w:szCs w:val="22"/>
          <w:lang w:val="en-US"/>
        </w:rPr>
        <w:t xml:space="preserve"> </w:t>
      </w:r>
      <w:proofErr w:type="spellStart"/>
      <w:r w:rsidRPr="00BB1D0A">
        <w:rPr>
          <w:rFonts w:cs="Times New Roman"/>
          <w:sz w:val="22"/>
          <w:szCs w:val="22"/>
          <w:lang w:val="en-US"/>
        </w:rPr>
        <w:t>delle</w:t>
      </w:r>
      <w:proofErr w:type="spellEnd"/>
      <w:r w:rsidRPr="00BB1D0A">
        <w:rPr>
          <w:rFonts w:cs="Times New Roman"/>
          <w:sz w:val="22"/>
          <w:szCs w:val="22"/>
          <w:lang w:val="en-US"/>
        </w:rPr>
        <w:t xml:space="preserve"> </w:t>
      </w:r>
      <w:proofErr w:type="spellStart"/>
      <w:r w:rsidRPr="00BB1D0A">
        <w:rPr>
          <w:rFonts w:cs="Times New Roman"/>
          <w:sz w:val="22"/>
          <w:szCs w:val="22"/>
          <w:lang w:val="en-US"/>
        </w:rPr>
        <w:t>crisi</w:t>
      </w:r>
      <w:proofErr w:type="spellEnd"/>
      <w:r w:rsidRPr="00BB1D0A">
        <w:rPr>
          <w:rFonts w:cs="Times New Roman"/>
          <w:sz w:val="22"/>
          <w:szCs w:val="22"/>
          <w:lang w:val="en-US"/>
        </w:rPr>
        <w:t xml:space="preserve"> </w:t>
      </w:r>
      <w:proofErr w:type="spellStart"/>
      <w:r w:rsidRPr="00BB1D0A">
        <w:rPr>
          <w:rFonts w:cs="Times New Roman"/>
          <w:sz w:val="22"/>
          <w:szCs w:val="22"/>
          <w:lang w:val="en-US"/>
        </w:rPr>
        <w:t>finanziarie</w:t>
      </w:r>
      <w:proofErr w:type="spellEnd"/>
      <w:r w:rsidRPr="00BB1D0A">
        <w:rPr>
          <w:rFonts w:cs="Times New Roman"/>
          <w:sz w:val="22"/>
          <w:szCs w:val="22"/>
          <w:lang w:val="en-US"/>
        </w:rPr>
        <w:t xml:space="preserve"> v. C.P. </w:t>
      </w:r>
      <w:proofErr w:type="spellStart"/>
      <w:r w:rsidRPr="00BB1D0A">
        <w:rPr>
          <w:rFonts w:cs="Times New Roman"/>
          <w:sz w:val="22"/>
          <w:szCs w:val="22"/>
          <w:lang w:val="en-US"/>
        </w:rPr>
        <w:t>Kindleberger</w:t>
      </w:r>
      <w:proofErr w:type="spellEnd"/>
      <w:r w:rsidRPr="00BB1D0A">
        <w:rPr>
          <w:rFonts w:cs="Times New Roman"/>
          <w:sz w:val="22"/>
          <w:szCs w:val="22"/>
          <w:lang w:val="en-US"/>
        </w:rPr>
        <w:t xml:space="preserve">, </w:t>
      </w:r>
      <w:r w:rsidRPr="00BB1D0A">
        <w:rPr>
          <w:rFonts w:cs="Times New Roman"/>
          <w:i/>
          <w:sz w:val="22"/>
          <w:szCs w:val="22"/>
          <w:lang w:val="en-US"/>
        </w:rPr>
        <w:t>Manias, Panics, and Crashes: A History of Financial Crises</w:t>
      </w:r>
      <w:r w:rsidRPr="00BB1D0A">
        <w:rPr>
          <w:rFonts w:cs="Times New Roman"/>
          <w:sz w:val="22"/>
          <w:szCs w:val="22"/>
          <w:lang w:val="en-US"/>
        </w:rPr>
        <w:t xml:space="preserve">, Wiley, 4 ed., 2000; </w:t>
      </w:r>
      <w:proofErr w:type="spellStart"/>
      <w:r w:rsidRPr="00BB1D0A">
        <w:rPr>
          <w:rFonts w:cs="Times New Roman"/>
          <w:sz w:val="22"/>
          <w:szCs w:val="22"/>
          <w:lang w:val="en-US"/>
        </w:rPr>
        <w:t>C.Reinhart</w:t>
      </w:r>
      <w:proofErr w:type="spellEnd"/>
      <w:r w:rsidRPr="00BB1D0A">
        <w:rPr>
          <w:rFonts w:cs="Times New Roman"/>
          <w:sz w:val="22"/>
          <w:szCs w:val="22"/>
          <w:lang w:val="en-US"/>
        </w:rPr>
        <w:t xml:space="preserve">,  K. S. </w:t>
      </w:r>
      <w:proofErr w:type="spellStart"/>
      <w:r w:rsidRPr="00BB1D0A">
        <w:rPr>
          <w:rFonts w:cs="Times New Roman"/>
          <w:sz w:val="22"/>
          <w:szCs w:val="22"/>
          <w:lang w:val="en-US"/>
        </w:rPr>
        <w:t>Rogoff</w:t>
      </w:r>
      <w:proofErr w:type="spellEnd"/>
      <w:r w:rsidRPr="00BB1D0A">
        <w:rPr>
          <w:rFonts w:cs="Times New Roman"/>
          <w:sz w:val="22"/>
          <w:szCs w:val="22"/>
          <w:lang w:val="en-US"/>
        </w:rPr>
        <w:t xml:space="preserve">, </w:t>
      </w:r>
      <w:r w:rsidRPr="00BB1D0A">
        <w:rPr>
          <w:rFonts w:cs="Times New Roman"/>
          <w:i/>
          <w:sz w:val="22"/>
          <w:szCs w:val="22"/>
          <w:lang w:val="en-US"/>
        </w:rPr>
        <w:t>This Time Is Different: Eight Centuries of Financial Folly</w:t>
      </w:r>
      <w:r w:rsidRPr="00BB1D0A">
        <w:rPr>
          <w:rFonts w:cs="Times New Roman"/>
          <w:sz w:val="22"/>
          <w:szCs w:val="22"/>
          <w:lang w:val="en-US"/>
        </w:rPr>
        <w:t>, Princeton University Press, 2009.</w:t>
      </w:r>
    </w:p>
  </w:footnote>
  <w:footnote w:id="26">
    <w:p w:rsidR="007C35BB" w:rsidRPr="009A1993" w:rsidRDefault="007C35BB" w:rsidP="00BB1D0A">
      <w:pPr>
        <w:pStyle w:val="Testonotaapidipagina"/>
        <w:rPr>
          <w:rFonts w:cs="Times New Roman"/>
          <w:sz w:val="22"/>
          <w:szCs w:val="22"/>
        </w:rPr>
      </w:pPr>
      <w:r w:rsidRPr="00BB1D0A">
        <w:rPr>
          <w:rStyle w:val="Rimandonotaapidipagina"/>
          <w:rFonts w:cs="Times New Roman"/>
          <w:sz w:val="22"/>
          <w:szCs w:val="22"/>
        </w:rPr>
        <w:footnoteRef/>
      </w:r>
      <w:r w:rsidRPr="00BB1D0A">
        <w:rPr>
          <w:rFonts w:cs="Times New Roman"/>
          <w:sz w:val="22"/>
          <w:szCs w:val="22"/>
        </w:rPr>
        <w:t xml:space="preserve"> </w:t>
      </w:r>
      <w:r w:rsidR="009A1993">
        <w:rPr>
          <w:rFonts w:cs="Times New Roman"/>
          <w:sz w:val="22"/>
          <w:szCs w:val="22"/>
        </w:rPr>
        <w:t xml:space="preserve">Per una revisione, anche da parte del FMI,  delle valutazioni sui risultati ottenuti con le c.d. politiche di austerità, v. </w:t>
      </w:r>
      <w:r w:rsidR="009A1993" w:rsidRPr="009A1993">
        <w:rPr>
          <w:rFonts w:cs="Times New Roman"/>
          <w:sz w:val="22"/>
          <w:szCs w:val="22"/>
        </w:rPr>
        <w:t>O</w:t>
      </w:r>
      <w:r w:rsidR="009A1993">
        <w:rPr>
          <w:rFonts w:cs="Times New Roman"/>
          <w:sz w:val="22"/>
          <w:szCs w:val="22"/>
        </w:rPr>
        <w:t>.</w:t>
      </w:r>
      <w:r w:rsidR="009A1993" w:rsidRPr="009A1993">
        <w:rPr>
          <w:rFonts w:cs="Times New Roman"/>
          <w:sz w:val="22"/>
          <w:szCs w:val="22"/>
        </w:rPr>
        <w:t xml:space="preserve">J. </w:t>
      </w:r>
      <w:proofErr w:type="spellStart"/>
      <w:r w:rsidR="009A1993" w:rsidRPr="009A1993">
        <w:rPr>
          <w:rFonts w:cs="Times New Roman"/>
          <w:sz w:val="22"/>
          <w:szCs w:val="22"/>
        </w:rPr>
        <w:t>Blanchard</w:t>
      </w:r>
      <w:proofErr w:type="spellEnd"/>
      <w:r w:rsidR="009A1993">
        <w:rPr>
          <w:rFonts w:cs="Times New Roman"/>
          <w:sz w:val="22"/>
          <w:szCs w:val="22"/>
        </w:rPr>
        <w:t>,</w:t>
      </w:r>
      <w:r w:rsidR="009A1993" w:rsidRPr="009A1993">
        <w:rPr>
          <w:rFonts w:cs="Times New Roman"/>
          <w:sz w:val="22"/>
          <w:szCs w:val="22"/>
        </w:rPr>
        <w:t xml:space="preserve"> D</w:t>
      </w:r>
      <w:r w:rsidR="009A1993">
        <w:rPr>
          <w:rFonts w:cs="Times New Roman"/>
          <w:sz w:val="22"/>
          <w:szCs w:val="22"/>
        </w:rPr>
        <w:t>.</w:t>
      </w:r>
      <w:r w:rsidR="009A1993" w:rsidRPr="009A1993">
        <w:rPr>
          <w:rFonts w:cs="Times New Roman"/>
          <w:sz w:val="22"/>
          <w:szCs w:val="22"/>
        </w:rPr>
        <w:t xml:space="preserve"> Leigh</w:t>
      </w:r>
      <w:r w:rsidR="009A1993">
        <w:rPr>
          <w:rFonts w:cs="Times New Roman"/>
          <w:sz w:val="22"/>
          <w:szCs w:val="22"/>
        </w:rPr>
        <w:t xml:space="preserve">, </w:t>
      </w:r>
      <w:proofErr w:type="spellStart"/>
      <w:r w:rsidR="009A1993" w:rsidRPr="009A1993">
        <w:rPr>
          <w:rFonts w:cs="Times New Roman"/>
          <w:i/>
          <w:sz w:val="22"/>
          <w:szCs w:val="22"/>
        </w:rPr>
        <w:t>Growth</w:t>
      </w:r>
      <w:proofErr w:type="spellEnd"/>
      <w:r w:rsidR="009A1993" w:rsidRPr="009A1993">
        <w:rPr>
          <w:rFonts w:cs="Times New Roman"/>
          <w:i/>
          <w:sz w:val="22"/>
          <w:szCs w:val="22"/>
        </w:rPr>
        <w:t xml:space="preserve"> </w:t>
      </w:r>
      <w:proofErr w:type="spellStart"/>
      <w:r w:rsidR="009A1993" w:rsidRPr="009A1993">
        <w:rPr>
          <w:rFonts w:cs="Times New Roman"/>
          <w:i/>
          <w:sz w:val="22"/>
          <w:szCs w:val="22"/>
        </w:rPr>
        <w:t>Forecast</w:t>
      </w:r>
      <w:proofErr w:type="spellEnd"/>
      <w:r w:rsidR="009A1993" w:rsidRPr="009A1993">
        <w:rPr>
          <w:rFonts w:cs="Times New Roman"/>
          <w:i/>
          <w:sz w:val="22"/>
          <w:szCs w:val="22"/>
        </w:rPr>
        <w:t xml:space="preserve"> </w:t>
      </w:r>
      <w:proofErr w:type="spellStart"/>
      <w:r w:rsidR="009A1993" w:rsidRPr="009A1993">
        <w:rPr>
          <w:rFonts w:cs="Times New Roman"/>
          <w:i/>
          <w:sz w:val="22"/>
          <w:szCs w:val="22"/>
        </w:rPr>
        <w:t>Errors</w:t>
      </w:r>
      <w:proofErr w:type="spellEnd"/>
      <w:r w:rsidR="009A1993" w:rsidRPr="009A1993">
        <w:rPr>
          <w:rFonts w:cs="Times New Roman"/>
          <w:i/>
          <w:sz w:val="22"/>
          <w:szCs w:val="22"/>
        </w:rPr>
        <w:t xml:space="preserve"> and Fiscal </w:t>
      </w:r>
      <w:proofErr w:type="spellStart"/>
      <w:r w:rsidR="009A1993" w:rsidRPr="009A1993">
        <w:rPr>
          <w:rFonts w:cs="Times New Roman"/>
          <w:i/>
          <w:sz w:val="22"/>
          <w:szCs w:val="22"/>
        </w:rPr>
        <w:t>Multipliers</w:t>
      </w:r>
      <w:proofErr w:type="spellEnd"/>
      <w:r w:rsidR="009A1993">
        <w:rPr>
          <w:rFonts w:cs="Times New Roman"/>
          <w:sz w:val="22"/>
          <w:szCs w:val="22"/>
        </w:rPr>
        <w:t xml:space="preserve">, International </w:t>
      </w:r>
      <w:proofErr w:type="spellStart"/>
      <w:r w:rsidR="009A1993">
        <w:rPr>
          <w:rFonts w:cs="Times New Roman"/>
          <w:sz w:val="22"/>
          <w:szCs w:val="22"/>
        </w:rPr>
        <w:t>Monetary</w:t>
      </w:r>
      <w:proofErr w:type="spellEnd"/>
      <w:r w:rsidR="009A1993">
        <w:rPr>
          <w:rFonts w:cs="Times New Roman"/>
          <w:sz w:val="22"/>
          <w:szCs w:val="22"/>
        </w:rPr>
        <w:t xml:space="preserve"> Fund, </w:t>
      </w:r>
      <w:proofErr w:type="spellStart"/>
      <w:r w:rsidR="009A1993" w:rsidRPr="009A1993">
        <w:rPr>
          <w:rFonts w:cs="Times New Roman"/>
          <w:sz w:val="22"/>
          <w:szCs w:val="22"/>
        </w:rPr>
        <w:t>Working</w:t>
      </w:r>
      <w:proofErr w:type="spellEnd"/>
      <w:r w:rsidR="009A1993" w:rsidRPr="009A1993">
        <w:rPr>
          <w:rFonts w:cs="Times New Roman"/>
          <w:sz w:val="22"/>
          <w:szCs w:val="22"/>
        </w:rPr>
        <w:t xml:space="preserve"> </w:t>
      </w:r>
      <w:proofErr w:type="spellStart"/>
      <w:r w:rsidR="009A1993" w:rsidRPr="009A1993">
        <w:rPr>
          <w:rFonts w:cs="Times New Roman"/>
          <w:sz w:val="22"/>
          <w:szCs w:val="22"/>
        </w:rPr>
        <w:t>Paper</w:t>
      </w:r>
      <w:proofErr w:type="spellEnd"/>
      <w:r w:rsidR="009A1993" w:rsidRPr="009A1993">
        <w:rPr>
          <w:rFonts w:cs="Times New Roman"/>
          <w:sz w:val="22"/>
          <w:szCs w:val="22"/>
        </w:rPr>
        <w:t xml:space="preserve"> </w:t>
      </w:r>
      <w:r w:rsidR="009A1993">
        <w:rPr>
          <w:rFonts w:cs="Times New Roman"/>
          <w:sz w:val="22"/>
          <w:szCs w:val="22"/>
        </w:rPr>
        <w:t>n</w:t>
      </w:r>
      <w:r w:rsidR="009A1993" w:rsidRPr="009A1993">
        <w:rPr>
          <w:rFonts w:cs="Times New Roman"/>
          <w:sz w:val="22"/>
          <w:szCs w:val="22"/>
        </w:rPr>
        <w:t>. 1</w:t>
      </w:r>
      <w:r w:rsidR="009A1993">
        <w:rPr>
          <w:rFonts w:cs="Times New Roman"/>
          <w:sz w:val="22"/>
          <w:szCs w:val="22"/>
        </w:rPr>
        <w:t>/2013.</w:t>
      </w:r>
    </w:p>
  </w:footnote>
  <w:footnote w:id="27">
    <w:p w:rsidR="00BE1692" w:rsidRPr="00BB1D0A" w:rsidRDefault="00BE1692" w:rsidP="00BB1D0A">
      <w:pPr>
        <w:pStyle w:val="Testonotaapidipagina"/>
        <w:rPr>
          <w:rFonts w:cs="Times New Roman"/>
          <w:sz w:val="22"/>
          <w:szCs w:val="22"/>
        </w:rPr>
      </w:pPr>
      <w:r w:rsidRPr="00BB1D0A">
        <w:rPr>
          <w:rStyle w:val="Rimandonotaapidipagina"/>
          <w:rFonts w:cs="Times New Roman"/>
          <w:sz w:val="22"/>
          <w:szCs w:val="22"/>
        </w:rPr>
        <w:footnoteRef/>
      </w:r>
      <w:r w:rsidRPr="00BB1D0A">
        <w:rPr>
          <w:rFonts w:cs="Times New Roman"/>
          <w:sz w:val="22"/>
          <w:szCs w:val="22"/>
        </w:rPr>
        <w:t xml:space="preserve"> Si pensi alla decisione di pubblicare le minute delle riunioni della BCE.</w:t>
      </w:r>
    </w:p>
  </w:footnote>
  <w:footnote w:id="28">
    <w:p w:rsidR="006D6B99" w:rsidRPr="00BB1D0A" w:rsidRDefault="006D6B99" w:rsidP="00BB1D0A">
      <w:pPr>
        <w:pStyle w:val="Testonotaapidipagina"/>
        <w:rPr>
          <w:rFonts w:cs="Times New Roman"/>
          <w:sz w:val="22"/>
          <w:szCs w:val="22"/>
          <w:lang w:val="en-US"/>
        </w:rPr>
      </w:pPr>
      <w:r w:rsidRPr="00BB1D0A">
        <w:rPr>
          <w:rStyle w:val="Rimandonotaapidipagina"/>
          <w:rFonts w:cs="Times New Roman"/>
          <w:sz w:val="22"/>
          <w:szCs w:val="22"/>
        </w:rPr>
        <w:footnoteRef/>
      </w:r>
      <w:r w:rsidRPr="00BB1D0A">
        <w:rPr>
          <w:rFonts w:cs="Times New Roman"/>
          <w:sz w:val="22"/>
          <w:szCs w:val="22"/>
          <w:lang w:val="en-US"/>
        </w:rPr>
        <w:t xml:space="preserve"> V. da ultimo Y. </w:t>
      </w:r>
      <w:proofErr w:type="spellStart"/>
      <w:r w:rsidRPr="00BB1D0A">
        <w:rPr>
          <w:rFonts w:cs="Times New Roman"/>
          <w:sz w:val="22"/>
          <w:szCs w:val="22"/>
          <w:lang w:val="en-US"/>
        </w:rPr>
        <w:t>Meny</w:t>
      </w:r>
      <w:proofErr w:type="spellEnd"/>
      <w:r w:rsidRPr="00BB1D0A">
        <w:rPr>
          <w:rFonts w:cs="Times New Roman"/>
          <w:sz w:val="22"/>
          <w:szCs w:val="22"/>
          <w:lang w:val="en-US"/>
        </w:rPr>
        <w:t xml:space="preserve">, </w:t>
      </w:r>
      <w:r w:rsidRPr="00BB1D0A">
        <w:rPr>
          <w:rFonts w:cs="Times New Roman"/>
          <w:i/>
          <w:sz w:val="22"/>
          <w:szCs w:val="22"/>
          <w:lang w:val="en-US"/>
        </w:rPr>
        <w:t>«It's politics, stupid!»: The hollowing out of politics in Europe - and its return, with a vengeance</w:t>
      </w:r>
      <w:r w:rsidRPr="00BB1D0A">
        <w:rPr>
          <w:rFonts w:cs="Times New Roman"/>
          <w:sz w:val="22"/>
          <w:szCs w:val="22"/>
          <w:lang w:val="en-US"/>
        </w:rPr>
        <w:t xml:space="preserve">, </w:t>
      </w:r>
      <w:r w:rsidR="00A03C50" w:rsidRPr="00BB1D0A">
        <w:rPr>
          <w:rFonts w:cs="Times New Roman"/>
          <w:sz w:val="22"/>
          <w:szCs w:val="22"/>
          <w:lang w:val="en-US"/>
        </w:rPr>
        <w:t xml:space="preserve">in </w:t>
      </w:r>
      <w:proofErr w:type="spellStart"/>
      <w:r w:rsidRPr="00BB1D0A">
        <w:rPr>
          <w:rFonts w:cs="Times New Roman"/>
          <w:i/>
          <w:sz w:val="22"/>
          <w:szCs w:val="22"/>
          <w:lang w:val="en-US"/>
        </w:rPr>
        <w:t>Stato</w:t>
      </w:r>
      <w:proofErr w:type="spellEnd"/>
      <w:r w:rsidRPr="00BB1D0A">
        <w:rPr>
          <w:rFonts w:cs="Times New Roman"/>
          <w:i/>
          <w:sz w:val="22"/>
          <w:szCs w:val="22"/>
          <w:lang w:val="en-US"/>
        </w:rPr>
        <w:t xml:space="preserve"> e </w:t>
      </w:r>
      <w:proofErr w:type="spellStart"/>
      <w:r w:rsidRPr="00BB1D0A">
        <w:rPr>
          <w:rFonts w:cs="Times New Roman"/>
          <w:i/>
          <w:sz w:val="22"/>
          <w:szCs w:val="22"/>
          <w:lang w:val="en-US"/>
        </w:rPr>
        <w:t>mercato</w:t>
      </w:r>
      <w:proofErr w:type="spellEnd"/>
      <w:r w:rsidRPr="00BB1D0A">
        <w:rPr>
          <w:rFonts w:cs="Times New Roman"/>
          <w:sz w:val="22"/>
          <w:szCs w:val="22"/>
          <w:lang w:val="en-US"/>
        </w:rPr>
        <w:t>, 1, 2015, p. 3-28.</w:t>
      </w:r>
    </w:p>
  </w:footnote>
  <w:footnote w:id="29">
    <w:p w:rsidR="001F1A33" w:rsidRPr="00BB1D0A" w:rsidRDefault="001F1A33" w:rsidP="00BB1D0A">
      <w:pPr>
        <w:pStyle w:val="Testonotaapidipagina"/>
        <w:rPr>
          <w:rFonts w:cs="Times New Roman"/>
          <w:sz w:val="22"/>
          <w:szCs w:val="22"/>
          <w:lang w:val="en-US"/>
        </w:rPr>
      </w:pPr>
      <w:r w:rsidRPr="00BB1D0A">
        <w:rPr>
          <w:rStyle w:val="Rimandonotaapidipagina"/>
          <w:rFonts w:cs="Times New Roman"/>
          <w:sz w:val="22"/>
          <w:szCs w:val="22"/>
        </w:rPr>
        <w:footnoteRef/>
      </w:r>
      <w:r w:rsidRPr="00BB1D0A">
        <w:rPr>
          <w:rFonts w:cs="Times New Roman"/>
          <w:sz w:val="22"/>
          <w:szCs w:val="22"/>
          <w:lang w:val="en-US"/>
        </w:rPr>
        <w:t xml:space="preserve"> </w:t>
      </w:r>
      <w:r w:rsidR="00A03C50" w:rsidRPr="00BB1D0A">
        <w:rPr>
          <w:rFonts w:cs="Times New Roman"/>
          <w:sz w:val="22"/>
          <w:szCs w:val="22"/>
          <w:lang w:val="en-US"/>
        </w:rPr>
        <w:t xml:space="preserve">V. L.H. </w:t>
      </w:r>
      <w:r w:rsidRPr="00BB1D0A">
        <w:rPr>
          <w:rFonts w:cs="Times New Roman"/>
          <w:sz w:val="22"/>
          <w:szCs w:val="22"/>
          <w:lang w:val="en-US"/>
        </w:rPr>
        <w:t>Summers</w:t>
      </w:r>
      <w:r w:rsidR="00A03C50" w:rsidRPr="00BB1D0A">
        <w:rPr>
          <w:rFonts w:cs="Times New Roman"/>
          <w:sz w:val="22"/>
          <w:szCs w:val="22"/>
          <w:lang w:val="en-US"/>
        </w:rPr>
        <w:t xml:space="preserve">, </w:t>
      </w:r>
      <w:r w:rsidR="00A03C50" w:rsidRPr="00BB1D0A">
        <w:rPr>
          <w:i/>
          <w:sz w:val="22"/>
          <w:szCs w:val="22"/>
          <w:lang w:val="en-US"/>
        </w:rPr>
        <w:t>U.S. Economic Prospects: Secular Stagnation, Hysteresis, and the Zero Lower Bound</w:t>
      </w:r>
      <w:r w:rsidR="00BB1D0A" w:rsidRPr="00BB1D0A">
        <w:rPr>
          <w:sz w:val="22"/>
          <w:szCs w:val="22"/>
          <w:lang w:val="en-US"/>
        </w:rPr>
        <w:t xml:space="preserve">, in </w:t>
      </w:r>
      <w:r w:rsidR="00BB1D0A" w:rsidRPr="00BB1D0A">
        <w:rPr>
          <w:i/>
          <w:sz w:val="22"/>
          <w:szCs w:val="22"/>
          <w:lang w:val="en-US"/>
        </w:rPr>
        <w:t>Business Economics</w:t>
      </w:r>
      <w:r w:rsidR="00BB1D0A" w:rsidRPr="00BB1D0A">
        <w:rPr>
          <w:sz w:val="22"/>
          <w:szCs w:val="22"/>
          <w:lang w:val="en-US"/>
        </w:rPr>
        <w:t xml:space="preserve">, vol. 49, n. 2, 2014, p. 65 </w:t>
      </w:r>
      <w:proofErr w:type="spellStart"/>
      <w:r w:rsidR="00BB1D0A" w:rsidRPr="00BB1D0A">
        <w:rPr>
          <w:sz w:val="22"/>
          <w:szCs w:val="22"/>
          <w:lang w:val="en-US"/>
        </w:rPr>
        <w:t>ss</w:t>
      </w:r>
      <w:proofErr w:type="spellEnd"/>
      <w:r w:rsidRPr="00BB1D0A">
        <w:rPr>
          <w:rFonts w:cs="Times New Roman"/>
          <w:i/>
          <w:sz w:val="22"/>
          <w:szCs w:val="22"/>
          <w:lang w:val="en-US"/>
        </w:rPr>
        <w:t xml:space="preserve">; </w:t>
      </w:r>
      <w:r w:rsidR="00BB1D0A" w:rsidRPr="00BB1D0A">
        <w:rPr>
          <w:rFonts w:cs="Times New Roman"/>
          <w:sz w:val="22"/>
          <w:szCs w:val="22"/>
          <w:lang w:val="en-US"/>
        </w:rPr>
        <w:t>T.</w:t>
      </w:r>
      <w:r w:rsidR="006D6B99" w:rsidRPr="00BB1D0A">
        <w:rPr>
          <w:rFonts w:cs="Times New Roman"/>
          <w:sz w:val="22"/>
          <w:szCs w:val="22"/>
          <w:lang w:val="en-US"/>
        </w:rPr>
        <w:t xml:space="preserve"> Piketty</w:t>
      </w:r>
      <w:r w:rsidR="00BB1D0A" w:rsidRPr="00BB1D0A">
        <w:rPr>
          <w:rFonts w:cs="Times New Roman"/>
          <w:sz w:val="22"/>
          <w:szCs w:val="22"/>
          <w:lang w:val="en-US"/>
        </w:rPr>
        <w:t xml:space="preserve">, </w:t>
      </w:r>
      <w:r w:rsidR="00BB1D0A" w:rsidRPr="00BB1D0A">
        <w:rPr>
          <w:rFonts w:cs="Times New Roman"/>
          <w:i/>
          <w:sz w:val="22"/>
          <w:szCs w:val="22"/>
          <w:lang w:val="en-US"/>
        </w:rPr>
        <w:t xml:space="preserve">Il </w:t>
      </w:r>
      <w:proofErr w:type="spellStart"/>
      <w:r w:rsidR="00BB1D0A" w:rsidRPr="00BB1D0A">
        <w:rPr>
          <w:rFonts w:cs="Times New Roman"/>
          <w:i/>
          <w:sz w:val="22"/>
          <w:szCs w:val="22"/>
          <w:lang w:val="en-US"/>
        </w:rPr>
        <w:t>capitale</w:t>
      </w:r>
      <w:proofErr w:type="spellEnd"/>
      <w:r w:rsidR="00BB1D0A" w:rsidRPr="00BB1D0A">
        <w:rPr>
          <w:rFonts w:cs="Times New Roman"/>
          <w:i/>
          <w:sz w:val="22"/>
          <w:szCs w:val="22"/>
          <w:lang w:val="en-US"/>
        </w:rPr>
        <w:t xml:space="preserve"> </w:t>
      </w:r>
      <w:proofErr w:type="spellStart"/>
      <w:r w:rsidR="00BB1D0A" w:rsidRPr="00BB1D0A">
        <w:rPr>
          <w:rFonts w:cs="Times New Roman"/>
          <w:i/>
          <w:sz w:val="22"/>
          <w:szCs w:val="22"/>
          <w:lang w:val="en-US"/>
        </w:rPr>
        <w:t>nel</w:t>
      </w:r>
      <w:proofErr w:type="spellEnd"/>
      <w:r w:rsidR="00BB1D0A" w:rsidRPr="00BB1D0A">
        <w:rPr>
          <w:rFonts w:cs="Times New Roman"/>
          <w:i/>
          <w:sz w:val="22"/>
          <w:szCs w:val="22"/>
          <w:lang w:val="en-US"/>
        </w:rPr>
        <w:t xml:space="preserve"> XXI </w:t>
      </w:r>
      <w:proofErr w:type="spellStart"/>
      <w:r w:rsidR="00BB1D0A" w:rsidRPr="00BB1D0A">
        <w:rPr>
          <w:rFonts w:cs="Times New Roman"/>
          <w:i/>
          <w:sz w:val="22"/>
          <w:szCs w:val="22"/>
          <w:lang w:val="en-US"/>
        </w:rPr>
        <w:t>secolo</w:t>
      </w:r>
      <w:proofErr w:type="spellEnd"/>
      <w:r w:rsidR="00BB1D0A" w:rsidRPr="00BB1D0A">
        <w:rPr>
          <w:rFonts w:cs="Times New Roman"/>
          <w:sz w:val="22"/>
          <w:szCs w:val="22"/>
          <w:lang w:val="en-US"/>
        </w:rPr>
        <w:t xml:space="preserve">, </w:t>
      </w:r>
      <w:proofErr w:type="spellStart"/>
      <w:r w:rsidR="00BB1D0A" w:rsidRPr="00BB1D0A">
        <w:rPr>
          <w:rFonts w:cs="Times New Roman"/>
          <w:sz w:val="22"/>
          <w:szCs w:val="22"/>
          <w:lang w:val="en-US"/>
        </w:rPr>
        <w:t>Bompiani</w:t>
      </w:r>
      <w:proofErr w:type="spellEnd"/>
      <w:r w:rsidR="00BB1D0A" w:rsidRPr="00BB1D0A">
        <w:rPr>
          <w:rFonts w:cs="Times New Roman"/>
          <w:sz w:val="22"/>
          <w:szCs w:val="22"/>
          <w:lang w:val="en-US"/>
        </w:rPr>
        <w:t>,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87525"/>
    <w:multiLevelType w:val="hybridMultilevel"/>
    <w:tmpl w:val="D416D23A"/>
    <w:lvl w:ilvl="0" w:tplc="04100003">
      <w:start w:val="1"/>
      <w:numFmt w:val="bullet"/>
      <w:lvlText w:val="o"/>
      <w:lvlJc w:val="left"/>
      <w:pPr>
        <w:ind w:left="2845" w:hanging="360"/>
      </w:pPr>
      <w:rPr>
        <w:rFonts w:ascii="Courier New" w:hAnsi="Courier New" w:cs="Courier New" w:hint="default"/>
      </w:rPr>
    </w:lvl>
    <w:lvl w:ilvl="1" w:tplc="04100003" w:tentative="1">
      <w:start w:val="1"/>
      <w:numFmt w:val="bullet"/>
      <w:lvlText w:val="o"/>
      <w:lvlJc w:val="left"/>
      <w:pPr>
        <w:ind w:left="3565" w:hanging="360"/>
      </w:pPr>
      <w:rPr>
        <w:rFonts w:ascii="Courier New" w:hAnsi="Courier New" w:cs="Courier New" w:hint="default"/>
      </w:rPr>
    </w:lvl>
    <w:lvl w:ilvl="2" w:tplc="04100005" w:tentative="1">
      <w:start w:val="1"/>
      <w:numFmt w:val="bullet"/>
      <w:lvlText w:val=""/>
      <w:lvlJc w:val="left"/>
      <w:pPr>
        <w:ind w:left="4285" w:hanging="360"/>
      </w:pPr>
      <w:rPr>
        <w:rFonts w:ascii="Wingdings" w:hAnsi="Wingdings" w:hint="default"/>
      </w:rPr>
    </w:lvl>
    <w:lvl w:ilvl="3" w:tplc="04100001" w:tentative="1">
      <w:start w:val="1"/>
      <w:numFmt w:val="bullet"/>
      <w:lvlText w:val=""/>
      <w:lvlJc w:val="left"/>
      <w:pPr>
        <w:ind w:left="5005" w:hanging="360"/>
      </w:pPr>
      <w:rPr>
        <w:rFonts w:ascii="Symbol" w:hAnsi="Symbol" w:hint="default"/>
      </w:rPr>
    </w:lvl>
    <w:lvl w:ilvl="4" w:tplc="04100003" w:tentative="1">
      <w:start w:val="1"/>
      <w:numFmt w:val="bullet"/>
      <w:lvlText w:val="o"/>
      <w:lvlJc w:val="left"/>
      <w:pPr>
        <w:ind w:left="5725" w:hanging="360"/>
      </w:pPr>
      <w:rPr>
        <w:rFonts w:ascii="Courier New" w:hAnsi="Courier New" w:cs="Courier New" w:hint="default"/>
      </w:rPr>
    </w:lvl>
    <w:lvl w:ilvl="5" w:tplc="04100005" w:tentative="1">
      <w:start w:val="1"/>
      <w:numFmt w:val="bullet"/>
      <w:lvlText w:val=""/>
      <w:lvlJc w:val="left"/>
      <w:pPr>
        <w:ind w:left="6445" w:hanging="360"/>
      </w:pPr>
      <w:rPr>
        <w:rFonts w:ascii="Wingdings" w:hAnsi="Wingdings" w:hint="default"/>
      </w:rPr>
    </w:lvl>
    <w:lvl w:ilvl="6" w:tplc="04100001" w:tentative="1">
      <w:start w:val="1"/>
      <w:numFmt w:val="bullet"/>
      <w:lvlText w:val=""/>
      <w:lvlJc w:val="left"/>
      <w:pPr>
        <w:ind w:left="7165" w:hanging="360"/>
      </w:pPr>
      <w:rPr>
        <w:rFonts w:ascii="Symbol" w:hAnsi="Symbol" w:hint="default"/>
      </w:rPr>
    </w:lvl>
    <w:lvl w:ilvl="7" w:tplc="04100003" w:tentative="1">
      <w:start w:val="1"/>
      <w:numFmt w:val="bullet"/>
      <w:lvlText w:val="o"/>
      <w:lvlJc w:val="left"/>
      <w:pPr>
        <w:ind w:left="7885" w:hanging="360"/>
      </w:pPr>
      <w:rPr>
        <w:rFonts w:ascii="Courier New" w:hAnsi="Courier New" w:cs="Courier New" w:hint="default"/>
      </w:rPr>
    </w:lvl>
    <w:lvl w:ilvl="8" w:tplc="04100005" w:tentative="1">
      <w:start w:val="1"/>
      <w:numFmt w:val="bullet"/>
      <w:lvlText w:val=""/>
      <w:lvlJc w:val="left"/>
      <w:pPr>
        <w:ind w:left="8605" w:hanging="360"/>
      </w:pPr>
      <w:rPr>
        <w:rFonts w:ascii="Wingdings" w:hAnsi="Wingdings" w:hint="default"/>
      </w:rPr>
    </w:lvl>
  </w:abstractNum>
  <w:abstractNum w:abstractNumId="1">
    <w:nsid w:val="759063B6"/>
    <w:multiLevelType w:val="hybridMultilevel"/>
    <w:tmpl w:val="F08CDB8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46"/>
    <w:rsid w:val="00004024"/>
    <w:rsid w:val="0001508F"/>
    <w:rsid w:val="00025DD3"/>
    <w:rsid w:val="000315DA"/>
    <w:rsid w:val="00036B28"/>
    <w:rsid w:val="00083263"/>
    <w:rsid w:val="0008726F"/>
    <w:rsid w:val="000A698B"/>
    <w:rsid w:val="000B2005"/>
    <w:rsid w:val="000D78AB"/>
    <w:rsid w:val="000E1463"/>
    <w:rsid w:val="000F5BBD"/>
    <w:rsid w:val="000F78D6"/>
    <w:rsid w:val="000F7C6D"/>
    <w:rsid w:val="00126F85"/>
    <w:rsid w:val="00141F36"/>
    <w:rsid w:val="001A1882"/>
    <w:rsid w:val="001B63DD"/>
    <w:rsid w:val="001B6C58"/>
    <w:rsid w:val="001D2A41"/>
    <w:rsid w:val="001E4D18"/>
    <w:rsid w:val="001F1A33"/>
    <w:rsid w:val="00210382"/>
    <w:rsid w:val="002369B7"/>
    <w:rsid w:val="00236F78"/>
    <w:rsid w:val="00253744"/>
    <w:rsid w:val="0026011B"/>
    <w:rsid w:val="00266974"/>
    <w:rsid w:val="00270241"/>
    <w:rsid w:val="002765AD"/>
    <w:rsid w:val="00277B83"/>
    <w:rsid w:val="0028581A"/>
    <w:rsid w:val="002867EB"/>
    <w:rsid w:val="002C0DAE"/>
    <w:rsid w:val="002C2B30"/>
    <w:rsid w:val="002D4DC5"/>
    <w:rsid w:val="002F5B11"/>
    <w:rsid w:val="00312483"/>
    <w:rsid w:val="00344670"/>
    <w:rsid w:val="00361946"/>
    <w:rsid w:val="00364039"/>
    <w:rsid w:val="00382571"/>
    <w:rsid w:val="00393863"/>
    <w:rsid w:val="003A2F52"/>
    <w:rsid w:val="003C02A6"/>
    <w:rsid w:val="003D0B23"/>
    <w:rsid w:val="003D24FA"/>
    <w:rsid w:val="003E65DD"/>
    <w:rsid w:val="003F7CD9"/>
    <w:rsid w:val="004122DA"/>
    <w:rsid w:val="00413914"/>
    <w:rsid w:val="00415FAA"/>
    <w:rsid w:val="00432121"/>
    <w:rsid w:val="00433087"/>
    <w:rsid w:val="004352B9"/>
    <w:rsid w:val="00445364"/>
    <w:rsid w:val="00446783"/>
    <w:rsid w:val="0045628E"/>
    <w:rsid w:val="004627DD"/>
    <w:rsid w:val="00476DA6"/>
    <w:rsid w:val="0048271D"/>
    <w:rsid w:val="004A5464"/>
    <w:rsid w:val="004B1A48"/>
    <w:rsid w:val="004C4E45"/>
    <w:rsid w:val="004D7D3D"/>
    <w:rsid w:val="00512954"/>
    <w:rsid w:val="005673EF"/>
    <w:rsid w:val="0058408A"/>
    <w:rsid w:val="005E4666"/>
    <w:rsid w:val="005F172A"/>
    <w:rsid w:val="005F2ABC"/>
    <w:rsid w:val="005F5362"/>
    <w:rsid w:val="006119F3"/>
    <w:rsid w:val="006777E4"/>
    <w:rsid w:val="00697D08"/>
    <w:rsid w:val="006B05F7"/>
    <w:rsid w:val="006D6B99"/>
    <w:rsid w:val="006E578A"/>
    <w:rsid w:val="00743D0B"/>
    <w:rsid w:val="00750A94"/>
    <w:rsid w:val="00767E4E"/>
    <w:rsid w:val="00771DBB"/>
    <w:rsid w:val="007B5B85"/>
    <w:rsid w:val="007C35BB"/>
    <w:rsid w:val="007E5A38"/>
    <w:rsid w:val="00822790"/>
    <w:rsid w:val="00827E2E"/>
    <w:rsid w:val="00830733"/>
    <w:rsid w:val="0083588B"/>
    <w:rsid w:val="00870A4F"/>
    <w:rsid w:val="008828D3"/>
    <w:rsid w:val="00893C34"/>
    <w:rsid w:val="008C1DA4"/>
    <w:rsid w:val="008E3A7A"/>
    <w:rsid w:val="008E7EE5"/>
    <w:rsid w:val="00926C69"/>
    <w:rsid w:val="00927688"/>
    <w:rsid w:val="00934F86"/>
    <w:rsid w:val="00943552"/>
    <w:rsid w:val="0098270F"/>
    <w:rsid w:val="00983B62"/>
    <w:rsid w:val="0098694F"/>
    <w:rsid w:val="009A1993"/>
    <w:rsid w:val="009A3F17"/>
    <w:rsid w:val="009B6EF8"/>
    <w:rsid w:val="009C0E91"/>
    <w:rsid w:val="009C135D"/>
    <w:rsid w:val="009D0B2D"/>
    <w:rsid w:val="009F5771"/>
    <w:rsid w:val="009F5C50"/>
    <w:rsid w:val="00A03C50"/>
    <w:rsid w:val="00A23BF7"/>
    <w:rsid w:val="00A270C6"/>
    <w:rsid w:val="00A3195F"/>
    <w:rsid w:val="00A544F5"/>
    <w:rsid w:val="00A745BA"/>
    <w:rsid w:val="00A74CDC"/>
    <w:rsid w:val="00A925E9"/>
    <w:rsid w:val="00AC29CA"/>
    <w:rsid w:val="00AD5D00"/>
    <w:rsid w:val="00AD7EE4"/>
    <w:rsid w:val="00AE0ED2"/>
    <w:rsid w:val="00B25AEE"/>
    <w:rsid w:val="00B25EC3"/>
    <w:rsid w:val="00B772CD"/>
    <w:rsid w:val="00B86E5C"/>
    <w:rsid w:val="00B9371A"/>
    <w:rsid w:val="00B93D03"/>
    <w:rsid w:val="00B97F70"/>
    <w:rsid w:val="00BB1D0A"/>
    <w:rsid w:val="00BE1692"/>
    <w:rsid w:val="00BE1706"/>
    <w:rsid w:val="00C014E6"/>
    <w:rsid w:val="00C077A6"/>
    <w:rsid w:val="00C5504B"/>
    <w:rsid w:val="00C57410"/>
    <w:rsid w:val="00C57CE6"/>
    <w:rsid w:val="00C81A02"/>
    <w:rsid w:val="00CA1EBD"/>
    <w:rsid w:val="00CB14EF"/>
    <w:rsid w:val="00CC63F8"/>
    <w:rsid w:val="00CD59AF"/>
    <w:rsid w:val="00CE46E3"/>
    <w:rsid w:val="00D3209F"/>
    <w:rsid w:val="00D36BB9"/>
    <w:rsid w:val="00D76997"/>
    <w:rsid w:val="00D90EA8"/>
    <w:rsid w:val="00DC45EC"/>
    <w:rsid w:val="00DF0877"/>
    <w:rsid w:val="00E27A04"/>
    <w:rsid w:val="00E36F23"/>
    <w:rsid w:val="00E42E2A"/>
    <w:rsid w:val="00E51B4D"/>
    <w:rsid w:val="00E65153"/>
    <w:rsid w:val="00E72037"/>
    <w:rsid w:val="00ED14F8"/>
    <w:rsid w:val="00ED252E"/>
    <w:rsid w:val="00EE77A3"/>
    <w:rsid w:val="00F12644"/>
    <w:rsid w:val="00F444CE"/>
    <w:rsid w:val="00F52B75"/>
    <w:rsid w:val="00F541FE"/>
    <w:rsid w:val="00F64D73"/>
    <w:rsid w:val="00F75190"/>
    <w:rsid w:val="00F8275C"/>
    <w:rsid w:val="00F86B80"/>
    <w:rsid w:val="00FA1E0F"/>
    <w:rsid w:val="00FD3F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194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61946"/>
  </w:style>
  <w:style w:type="paragraph" w:styleId="Pidipagina">
    <w:name w:val="footer"/>
    <w:basedOn w:val="Normale"/>
    <w:link w:val="PidipaginaCarattere"/>
    <w:uiPriority w:val="99"/>
    <w:unhideWhenUsed/>
    <w:rsid w:val="0036194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1946"/>
  </w:style>
  <w:style w:type="paragraph" w:styleId="Testofumetto">
    <w:name w:val="Balloon Text"/>
    <w:basedOn w:val="Normale"/>
    <w:link w:val="TestofumettoCarattere"/>
    <w:uiPriority w:val="99"/>
    <w:semiHidden/>
    <w:unhideWhenUsed/>
    <w:rsid w:val="000F5BB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5BBD"/>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E77A3"/>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E77A3"/>
    <w:rPr>
      <w:sz w:val="20"/>
      <w:szCs w:val="20"/>
    </w:rPr>
  </w:style>
  <w:style w:type="character" w:styleId="Rimandonotaapidipagina">
    <w:name w:val="footnote reference"/>
    <w:basedOn w:val="Carpredefinitoparagrafo"/>
    <w:uiPriority w:val="99"/>
    <w:semiHidden/>
    <w:unhideWhenUsed/>
    <w:rsid w:val="00EE77A3"/>
    <w:rPr>
      <w:vertAlign w:val="superscript"/>
    </w:rPr>
  </w:style>
  <w:style w:type="character" w:styleId="Enfasigrassetto">
    <w:name w:val="Strong"/>
    <w:basedOn w:val="Carpredefinitoparagrafo"/>
    <w:uiPriority w:val="22"/>
    <w:qFormat/>
    <w:rsid w:val="00AE0ED2"/>
    <w:rPr>
      <w:b/>
      <w:bCs/>
    </w:rPr>
  </w:style>
  <w:style w:type="character" w:styleId="Collegamentoipertestuale">
    <w:name w:val="Hyperlink"/>
    <w:basedOn w:val="Carpredefinitoparagrafo"/>
    <w:uiPriority w:val="99"/>
    <w:semiHidden/>
    <w:unhideWhenUsed/>
    <w:rsid w:val="00AE0ED2"/>
    <w:rPr>
      <w:color w:val="0000FF"/>
      <w:u w:val="single"/>
    </w:rPr>
  </w:style>
  <w:style w:type="character" w:customStyle="1" w:styleId="apple-converted-space">
    <w:name w:val="apple-converted-space"/>
    <w:basedOn w:val="Carpredefinitoparagrafo"/>
    <w:rsid w:val="00ED1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194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61946"/>
  </w:style>
  <w:style w:type="paragraph" w:styleId="Pidipagina">
    <w:name w:val="footer"/>
    <w:basedOn w:val="Normale"/>
    <w:link w:val="PidipaginaCarattere"/>
    <w:uiPriority w:val="99"/>
    <w:unhideWhenUsed/>
    <w:rsid w:val="0036194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1946"/>
  </w:style>
  <w:style w:type="paragraph" w:styleId="Testofumetto">
    <w:name w:val="Balloon Text"/>
    <w:basedOn w:val="Normale"/>
    <w:link w:val="TestofumettoCarattere"/>
    <w:uiPriority w:val="99"/>
    <w:semiHidden/>
    <w:unhideWhenUsed/>
    <w:rsid w:val="000F5BB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5BBD"/>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E77A3"/>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E77A3"/>
    <w:rPr>
      <w:sz w:val="20"/>
      <w:szCs w:val="20"/>
    </w:rPr>
  </w:style>
  <w:style w:type="character" w:styleId="Rimandonotaapidipagina">
    <w:name w:val="footnote reference"/>
    <w:basedOn w:val="Carpredefinitoparagrafo"/>
    <w:uiPriority w:val="99"/>
    <w:semiHidden/>
    <w:unhideWhenUsed/>
    <w:rsid w:val="00EE77A3"/>
    <w:rPr>
      <w:vertAlign w:val="superscript"/>
    </w:rPr>
  </w:style>
  <w:style w:type="character" w:styleId="Enfasigrassetto">
    <w:name w:val="Strong"/>
    <w:basedOn w:val="Carpredefinitoparagrafo"/>
    <w:uiPriority w:val="22"/>
    <w:qFormat/>
    <w:rsid w:val="00AE0ED2"/>
    <w:rPr>
      <w:b/>
      <w:bCs/>
    </w:rPr>
  </w:style>
  <w:style w:type="character" w:styleId="Collegamentoipertestuale">
    <w:name w:val="Hyperlink"/>
    <w:basedOn w:val="Carpredefinitoparagrafo"/>
    <w:uiPriority w:val="99"/>
    <w:semiHidden/>
    <w:unhideWhenUsed/>
    <w:rsid w:val="00AE0ED2"/>
    <w:rPr>
      <w:color w:val="0000FF"/>
      <w:u w:val="single"/>
    </w:rPr>
  </w:style>
  <w:style w:type="character" w:customStyle="1" w:styleId="apple-converted-space">
    <w:name w:val="apple-converted-space"/>
    <w:basedOn w:val="Carpredefinitoparagrafo"/>
    <w:rsid w:val="00ED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7392">
      <w:bodyDiv w:val="1"/>
      <w:marLeft w:val="0"/>
      <w:marRight w:val="0"/>
      <w:marTop w:val="0"/>
      <w:marBottom w:val="0"/>
      <w:divBdr>
        <w:top w:val="none" w:sz="0" w:space="0" w:color="auto"/>
        <w:left w:val="none" w:sz="0" w:space="0" w:color="auto"/>
        <w:bottom w:val="none" w:sz="0" w:space="0" w:color="auto"/>
        <w:right w:val="none" w:sz="0" w:space="0" w:color="auto"/>
      </w:divBdr>
    </w:div>
    <w:div w:id="803738127">
      <w:bodyDiv w:val="1"/>
      <w:marLeft w:val="0"/>
      <w:marRight w:val="0"/>
      <w:marTop w:val="0"/>
      <w:marBottom w:val="0"/>
      <w:divBdr>
        <w:top w:val="none" w:sz="0" w:space="0" w:color="auto"/>
        <w:left w:val="none" w:sz="0" w:space="0" w:color="auto"/>
        <w:bottom w:val="none" w:sz="0" w:space="0" w:color="auto"/>
        <w:right w:val="none" w:sz="0" w:space="0" w:color="auto"/>
      </w:divBdr>
    </w:div>
    <w:div w:id="1055658630">
      <w:bodyDiv w:val="1"/>
      <w:marLeft w:val="0"/>
      <w:marRight w:val="0"/>
      <w:marTop w:val="0"/>
      <w:marBottom w:val="0"/>
      <w:divBdr>
        <w:top w:val="none" w:sz="0" w:space="0" w:color="auto"/>
        <w:left w:val="none" w:sz="0" w:space="0" w:color="auto"/>
        <w:bottom w:val="none" w:sz="0" w:space="0" w:color="auto"/>
        <w:right w:val="none" w:sz="0" w:space="0" w:color="auto"/>
      </w:divBdr>
    </w:div>
    <w:div w:id="20225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C5DB9-F2E0-479E-A70B-30DB7935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4256</Words>
  <Characters>23707</Characters>
  <Application>Microsoft Office Word</Application>
  <DocSecurity>0</DocSecurity>
  <Lines>401</Lines>
  <Paragraphs>75</Paragraphs>
  <ScaleCrop>false</ScaleCrop>
  <HeadingPairs>
    <vt:vector size="2" baseType="variant">
      <vt:variant>
        <vt:lpstr>Titolo</vt:lpstr>
      </vt:variant>
      <vt:variant>
        <vt:i4>1</vt:i4>
      </vt:variant>
    </vt:vector>
  </HeadingPairs>
  <TitlesOfParts>
    <vt:vector size="1" baseType="lpstr">
      <vt:lpstr/>
    </vt:vector>
  </TitlesOfParts>
  <Company>Studio Legale Torchia</Company>
  <LinksUpToDate>false</LinksUpToDate>
  <CharactersWithSpaces>27888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LTorchia</dc:creator>
  <cp:lastModifiedBy>Prof. Avv. Luisa Torchia</cp:lastModifiedBy>
  <cp:revision>7</cp:revision>
  <cp:lastPrinted>2015-06-10T15:25:00Z</cp:lastPrinted>
  <dcterms:created xsi:type="dcterms:W3CDTF">2015-06-11T13:23:00Z</dcterms:created>
  <dcterms:modified xsi:type="dcterms:W3CDTF">2015-06-18T12:55:00Z</dcterms:modified>
</cp:coreProperties>
</file>