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F6" w:rsidRPr="00E263F6" w:rsidRDefault="00E263F6" w:rsidP="00E263F6">
      <w:pPr>
        <w:jc w:val="center"/>
        <w:rPr>
          <w:b/>
          <w:sz w:val="32"/>
          <w:szCs w:val="32"/>
        </w:rPr>
      </w:pPr>
      <w:r w:rsidRPr="00E263F6">
        <w:rPr>
          <w:b/>
          <w:smallCaps/>
          <w:sz w:val="32"/>
          <w:szCs w:val="32"/>
        </w:rPr>
        <w:t>Pubblicazioni di Valerio Bontempi</w:t>
      </w:r>
    </w:p>
    <w:p w:rsidR="00E263F6" w:rsidRDefault="00E263F6" w:rsidP="00E263F6">
      <w:pPr>
        <w:jc w:val="both"/>
        <w:rPr>
          <w:b/>
        </w:rPr>
      </w:pPr>
    </w:p>
    <w:p w:rsidR="00E263F6" w:rsidRDefault="00E263F6" w:rsidP="00E263F6">
      <w:pPr>
        <w:jc w:val="both"/>
        <w:rPr>
          <w:b/>
        </w:rPr>
      </w:pPr>
    </w:p>
    <w:p w:rsidR="00E263F6" w:rsidRDefault="00E263F6" w:rsidP="00E263F6">
      <w:pPr>
        <w:jc w:val="both"/>
        <w:rPr>
          <w:b/>
        </w:rPr>
      </w:pPr>
    </w:p>
    <w:p w:rsidR="00E263F6" w:rsidRDefault="00E263F6" w:rsidP="00E263F6">
      <w:pPr>
        <w:numPr>
          <w:ilvl w:val="0"/>
          <w:numId w:val="2"/>
        </w:numPr>
        <w:jc w:val="both"/>
      </w:pPr>
      <w:r w:rsidRPr="0082732C">
        <w:t>Articoli</w:t>
      </w:r>
      <w:r>
        <w:t xml:space="preserve"> e saggi:</w:t>
      </w:r>
    </w:p>
    <w:p w:rsidR="00E263F6" w:rsidRPr="0082732C" w:rsidRDefault="00E263F6" w:rsidP="00E263F6">
      <w:pPr>
        <w:ind w:left="1056"/>
        <w:jc w:val="both"/>
      </w:pPr>
    </w:p>
    <w:p w:rsidR="00E263F6" w:rsidRPr="00B5308E" w:rsidRDefault="00E263F6" w:rsidP="00E263F6">
      <w:pPr>
        <w:numPr>
          <w:ilvl w:val="0"/>
          <w:numId w:val="1"/>
        </w:numPr>
        <w:ind w:left="1056"/>
        <w:jc w:val="both"/>
      </w:pPr>
      <w:r w:rsidRPr="00B5308E">
        <w:rPr>
          <w:bCs/>
          <w:i/>
        </w:rPr>
        <w:t>La giurisdizione in materia di responsabilità degli amministratori di società a partecipazione pubblica</w:t>
      </w:r>
      <w:r>
        <w:rPr>
          <w:bCs/>
        </w:rPr>
        <w:t xml:space="preserve">, </w:t>
      </w:r>
      <w:r w:rsidRPr="0082732C">
        <w:rPr>
          <w:bCs/>
        </w:rPr>
        <w:t>in</w:t>
      </w:r>
      <w:r>
        <w:rPr>
          <w:bCs/>
        </w:rPr>
        <w:t xml:space="preserve"> </w:t>
      </w:r>
      <w:r w:rsidRPr="0082732C">
        <w:rPr>
          <w:bCs/>
          <w:i/>
        </w:rPr>
        <w:t>Giornale di diritto amministrativo</w:t>
      </w:r>
      <w:r>
        <w:rPr>
          <w:bCs/>
        </w:rPr>
        <w:t>, n. 2, 2019;</w:t>
      </w:r>
    </w:p>
    <w:p w:rsidR="00E263F6" w:rsidRPr="00B5308E" w:rsidRDefault="00E263F6" w:rsidP="00E263F6">
      <w:pPr>
        <w:ind w:left="1056"/>
        <w:jc w:val="both"/>
      </w:pPr>
    </w:p>
    <w:p w:rsidR="00E263F6" w:rsidRDefault="00E263F6" w:rsidP="00E263F6">
      <w:pPr>
        <w:numPr>
          <w:ilvl w:val="0"/>
          <w:numId w:val="1"/>
        </w:numPr>
        <w:ind w:left="1056"/>
        <w:jc w:val="both"/>
      </w:pPr>
      <w:r w:rsidRPr="0082732C">
        <w:rPr>
          <w:bCs/>
          <w:i/>
        </w:rPr>
        <w:t>I limiti di ammissibilità del soccorso istruttorio c.d. a pagamento</w:t>
      </w:r>
      <w:r w:rsidRPr="0082732C">
        <w:rPr>
          <w:bCs/>
        </w:rPr>
        <w:t xml:space="preserve">, in </w:t>
      </w:r>
      <w:r w:rsidRPr="0082732C">
        <w:rPr>
          <w:bCs/>
          <w:i/>
        </w:rPr>
        <w:t>Giornale di diritto amministrativo</w:t>
      </w:r>
      <w:r w:rsidRPr="0082732C">
        <w:rPr>
          <w:bCs/>
        </w:rPr>
        <w:t>, n. 4, 2018</w:t>
      </w:r>
      <w:r>
        <w:rPr>
          <w:bCs/>
        </w:rPr>
        <w:t>,</w:t>
      </w:r>
      <w:r w:rsidRPr="008E13D1"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 </w:t>
      </w:r>
      <w:r w:rsidRPr="008E13D1">
        <w:rPr>
          <w:bCs/>
        </w:rPr>
        <w:t>pp. 478-484</w:t>
      </w:r>
      <w:r>
        <w:rPr>
          <w:bCs/>
        </w:rPr>
        <w:t>;</w:t>
      </w:r>
    </w:p>
    <w:p w:rsidR="00E263F6" w:rsidRPr="0082732C" w:rsidRDefault="00E263F6" w:rsidP="00E263F6">
      <w:pPr>
        <w:ind w:left="1056"/>
        <w:jc w:val="both"/>
      </w:pPr>
    </w:p>
    <w:p w:rsidR="00E263F6" w:rsidRDefault="00E263F6" w:rsidP="00E263F6">
      <w:pPr>
        <w:numPr>
          <w:ilvl w:val="0"/>
          <w:numId w:val="1"/>
        </w:numPr>
        <w:ind w:left="1056"/>
        <w:jc w:val="both"/>
      </w:pPr>
      <w:r w:rsidRPr="0082732C">
        <w:rPr>
          <w:bCs/>
          <w:i/>
        </w:rPr>
        <w:t>Effetti dell’annullamento della norma sul quorum deliberativo per l’abilitazione scientifica nazionale</w:t>
      </w:r>
      <w:r w:rsidRPr="0082732C">
        <w:rPr>
          <w:bCs/>
        </w:rPr>
        <w:t xml:space="preserve">, in </w:t>
      </w:r>
      <w:r w:rsidRPr="0082732C">
        <w:rPr>
          <w:bCs/>
          <w:i/>
        </w:rPr>
        <w:t>Giornale di diritto amministrativo</w:t>
      </w:r>
      <w:r w:rsidRPr="0082732C">
        <w:rPr>
          <w:bCs/>
        </w:rPr>
        <w:t>, n. 2, 2018</w:t>
      </w:r>
      <w:r>
        <w:rPr>
          <w:bCs/>
        </w:rPr>
        <w:t xml:space="preserve">, </w:t>
      </w:r>
      <w:r w:rsidRPr="008E13D1">
        <w:rPr>
          <w:bCs/>
        </w:rPr>
        <w:t>pp. 207-212</w:t>
      </w:r>
      <w:r w:rsidRPr="0082732C">
        <w:rPr>
          <w:bCs/>
        </w:rPr>
        <w:t>;</w:t>
      </w:r>
    </w:p>
    <w:p w:rsidR="00E263F6" w:rsidRPr="00C5245D" w:rsidRDefault="00E263F6" w:rsidP="00E263F6">
      <w:pPr>
        <w:pStyle w:val="Paragrafoelenco"/>
        <w:rPr>
          <w:iCs/>
        </w:rPr>
      </w:pPr>
    </w:p>
    <w:p w:rsidR="00E263F6" w:rsidRDefault="00E263F6" w:rsidP="00E263F6">
      <w:pPr>
        <w:numPr>
          <w:ilvl w:val="0"/>
          <w:numId w:val="1"/>
        </w:numPr>
        <w:ind w:left="1056"/>
        <w:jc w:val="both"/>
      </w:pPr>
      <w:r w:rsidRPr="00C5245D">
        <w:rPr>
          <w:i/>
          <w:iCs/>
        </w:rPr>
        <w:t>Illecito costituzionale e responsabilità dello Stato: verso un regime oggettivo?</w:t>
      </w:r>
      <w:r w:rsidRPr="00C5245D">
        <w:rPr>
          <w:iCs/>
        </w:rPr>
        <w:t>,</w:t>
      </w:r>
      <w:r w:rsidRPr="0082732C">
        <w:t xml:space="preserve"> in </w:t>
      </w:r>
      <w:r w:rsidRPr="00C5245D">
        <w:rPr>
          <w:i/>
        </w:rPr>
        <w:t>Rivista trimestrale di diritto pubblico</w:t>
      </w:r>
      <w:r>
        <w:t xml:space="preserve">, n. 4, 2017, </w:t>
      </w:r>
      <w:r w:rsidRPr="008E13D1">
        <w:t>pp. 1083-1105</w:t>
      </w:r>
      <w:r w:rsidRPr="0082732C">
        <w:t>.</w:t>
      </w:r>
    </w:p>
    <w:p w:rsidR="00E263F6" w:rsidRDefault="00E263F6" w:rsidP="00E263F6">
      <w:pPr>
        <w:ind w:left="720"/>
        <w:jc w:val="both"/>
      </w:pPr>
    </w:p>
    <w:p w:rsidR="00E263F6" w:rsidRDefault="00E263F6" w:rsidP="00E263F6">
      <w:pPr>
        <w:ind w:left="720"/>
        <w:jc w:val="both"/>
      </w:pPr>
    </w:p>
    <w:p w:rsidR="00E263F6" w:rsidRDefault="00E263F6" w:rsidP="00E263F6">
      <w:pPr>
        <w:numPr>
          <w:ilvl w:val="0"/>
          <w:numId w:val="2"/>
        </w:numPr>
        <w:jc w:val="both"/>
      </w:pPr>
      <w:r>
        <w:t>Altre pubblicazioni:</w:t>
      </w:r>
    </w:p>
    <w:p w:rsidR="00E263F6" w:rsidRDefault="00E263F6" w:rsidP="00E263F6">
      <w:pPr>
        <w:ind w:left="720"/>
        <w:jc w:val="both"/>
      </w:pPr>
    </w:p>
    <w:p w:rsidR="00E263F6" w:rsidRPr="00057916" w:rsidRDefault="00E263F6" w:rsidP="00E263F6">
      <w:pPr>
        <w:numPr>
          <w:ilvl w:val="1"/>
          <w:numId w:val="2"/>
        </w:numPr>
        <w:ind w:left="1134"/>
        <w:jc w:val="both"/>
        <w:rPr>
          <w:rFonts w:eastAsia="Calibri"/>
          <w:b/>
          <w:i/>
          <w:color w:val="000000"/>
        </w:rPr>
      </w:pPr>
      <w:r w:rsidRPr="00057916">
        <w:rPr>
          <w:rFonts w:eastAsia="Calibri"/>
          <w:i/>
          <w:color w:val="000000"/>
        </w:rPr>
        <w:t>Corruzione e pubblica amministrazione.</w:t>
      </w:r>
      <w:r>
        <w:rPr>
          <w:rFonts w:eastAsia="Calibri"/>
          <w:b/>
          <w:i/>
          <w:color w:val="000000"/>
        </w:rPr>
        <w:t xml:space="preserve"> </w:t>
      </w:r>
      <w:r w:rsidRPr="00057916">
        <w:rPr>
          <w:rFonts w:eastAsia="Calibri"/>
          <w:i/>
          <w:color w:val="000000"/>
        </w:rPr>
        <w:t>Presentazione del volume a cura di Marco D’Alberti</w:t>
      </w:r>
      <w:r>
        <w:rPr>
          <w:rFonts w:eastAsia="Calibri"/>
          <w:b/>
          <w:i/>
          <w:color w:val="000000"/>
        </w:rPr>
        <w:t xml:space="preserve"> </w:t>
      </w:r>
      <w:r w:rsidRPr="00057916">
        <w:rPr>
          <w:rFonts w:eastAsia="Calibri"/>
          <w:i/>
          <w:color w:val="000000"/>
        </w:rPr>
        <w:t>(</w:t>
      </w:r>
      <w:proofErr w:type="spellStart"/>
      <w:r w:rsidRPr="00057916">
        <w:rPr>
          <w:rFonts w:eastAsia="Calibri"/>
          <w:i/>
          <w:color w:val="000000"/>
        </w:rPr>
        <w:t>Jovene</w:t>
      </w:r>
      <w:proofErr w:type="spellEnd"/>
      <w:r w:rsidRPr="00057916">
        <w:rPr>
          <w:rFonts w:eastAsia="Calibri"/>
          <w:i/>
          <w:color w:val="000000"/>
        </w:rPr>
        <w:t xml:space="preserve">, 2017) </w:t>
      </w:r>
      <w:r>
        <w:rPr>
          <w:rFonts w:eastAsia="Calibri"/>
          <w:color w:val="000000"/>
        </w:rPr>
        <w:t>(coautor</w:t>
      </w:r>
      <w:r w:rsidRPr="00057916">
        <w:rPr>
          <w:rFonts w:eastAsia="Calibri"/>
          <w:color w:val="000000"/>
        </w:rPr>
        <w:t xml:space="preserve">e </w:t>
      </w:r>
      <w:r>
        <w:rPr>
          <w:smallCaps/>
        </w:rPr>
        <w:t xml:space="preserve">F. </w:t>
      </w:r>
      <w:proofErr w:type="spellStart"/>
      <w:r>
        <w:rPr>
          <w:smallCaps/>
        </w:rPr>
        <w:t>Savo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Amodio</w:t>
      </w:r>
      <w:proofErr w:type="spellEnd"/>
      <w:r w:rsidRPr="00057916">
        <w:rPr>
          <w:rFonts w:eastAsia="Calibri"/>
          <w:color w:val="000000"/>
        </w:rPr>
        <w:t xml:space="preserve">), in </w:t>
      </w:r>
      <w:r w:rsidRPr="00057916">
        <w:rPr>
          <w:rFonts w:eastAsia="Calibri"/>
          <w:i/>
          <w:color w:val="000000"/>
        </w:rPr>
        <w:t>Rivista trimestrale di diritto pubblico</w:t>
      </w:r>
      <w:r w:rsidRPr="00057916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n. 2</w:t>
      </w:r>
      <w:r w:rsidRPr="00057916">
        <w:rPr>
          <w:rFonts w:eastAsia="Calibri"/>
          <w:color w:val="000000"/>
        </w:rPr>
        <w:t>, 201</w:t>
      </w:r>
      <w:r>
        <w:rPr>
          <w:rFonts w:eastAsia="Calibri"/>
          <w:color w:val="000000"/>
        </w:rPr>
        <w:t>9</w:t>
      </w:r>
      <w:r>
        <w:t>;</w:t>
      </w:r>
    </w:p>
    <w:p w:rsidR="00E263F6" w:rsidRPr="00057916" w:rsidRDefault="00E263F6" w:rsidP="00E263F6">
      <w:pPr>
        <w:ind w:left="1134"/>
        <w:jc w:val="both"/>
      </w:pPr>
    </w:p>
    <w:p w:rsidR="00E263F6" w:rsidRPr="0082732C" w:rsidRDefault="00E263F6" w:rsidP="00E263F6">
      <w:pPr>
        <w:numPr>
          <w:ilvl w:val="1"/>
          <w:numId w:val="2"/>
        </w:numPr>
        <w:ind w:left="1134"/>
        <w:jc w:val="both"/>
      </w:pPr>
      <w:r w:rsidRPr="003A7EA4">
        <w:rPr>
          <w:rFonts w:eastAsia="Calibri"/>
          <w:i/>
          <w:color w:val="000000"/>
        </w:rPr>
        <w:t>Primo colloquio biennale AIC-AIPDA «Governo: indirizzo politico e amministrazione»</w:t>
      </w:r>
      <w:r>
        <w:rPr>
          <w:rFonts w:eastAsia="Calibri"/>
          <w:i/>
          <w:color w:val="000000"/>
        </w:rPr>
        <w:t xml:space="preserve"> </w:t>
      </w:r>
      <w:r>
        <w:rPr>
          <w:rFonts w:eastAsia="Calibri"/>
          <w:color w:val="000000"/>
        </w:rPr>
        <w:t xml:space="preserve">(coautrice </w:t>
      </w:r>
      <w:r>
        <w:rPr>
          <w:smallCaps/>
        </w:rPr>
        <w:t>L.</w:t>
      </w:r>
      <w:r w:rsidRPr="004E71F7">
        <w:rPr>
          <w:smallCaps/>
        </w:rPr>
        <w:t xml:space="preserve"> Sacchi</w:t>
      </w:r>
      <w:r>
        <w:rPr>
          <w:rFonts w:eastAsia="Calibri"/>
          <w:color w:val="000000"/>
        </w:rPr>
        <w:t xml:space="preserve">), </w:t>
      </w:r>
      <w:r w:rsidRPr="009B5CEC">
        <w:rPr>
          <w:rFonts w:eastAsia="Calibri"/>
          <w:color w:val="000000"/>
        </w:rPr>
        <w:t xml:space="preserve">in </w:t>
      </w:r>
      <w:r w:rsidRPr="009B5CEC">
        <w:rPr>
          <w:rFonts w:eastAsia="Calibri"/>
          <w:i/>
          <w:color w:val="000000"/>
        </w:rPr>
        <w:t>Rivista trimestrale di diritto pubblico</w:t>
      </w:r>
      <w:r w:rsidRPr="009B5CEC">
        <w:rPr>
          <w:rFonts w:eastAsia="Calibri"/>
          <w:color w:val="000000"/>
        </w:rPr>
        <w:t>, n. 4, 201</w:t>
      </w:r>
      <w:r>
        <w:rPr>
          <w:rFonts w:eastAsia="Calibri"/>
          <w:color w:val="000000"/>
        </w:rPr>
        <w:t>8,</w:t>
      </w:r>
      <w:r w:rsidRPr="008E13D1"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 </w:t>
      </w:r>
      <w:r w:rsidRPr="008E13D1">
        <w:rPr>
          <w:rFonts w:eastAsia="Calibri"/>
          <w:color w:val="000000"/>
        </w:rPr>
        <w:t>pp. 1279-1280</w:t>
      </w:r>
      <w:r>
        <w:t>.</w:t>
      </w:r>
    </w:p>
    <w:p w:rsidR="00FF7DC6" w:rsidRDefault="00FF7DC6"/>
    <w:sectPr w:rsidR="00FF7DC6" w:rsidSect="00F37B6C">
      <w:footerReference w:type="even" r:id="rId5"/>
      <w:footerReference w:type="defaul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55" w:rsidRDefault="00E263F6" w:rsidP="00F37B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6655" w:rsidRDefault="00E263F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55" w:rsidRDefault="00E263F6" w:rsidP="00F37B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C66655" w:rsidRDefault="00E263F6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683"/>
    <w:multiLevelType w:val="hybridMultilevel"/>
    <w:tmpl w:val="F8601B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80B06"/>
    <w:multiLevelType w:val="hybridMultilevel"/>
    <w:tmpl w:val="F8601B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292D"/>
    <w:multiLevelType w:val="hybridMultilevel"/>
    <w:tmpl w:val="805A6F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44A2C7C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263F6"/>
    <w:rsid w:val="000E2B78"/>
    <w:rsid w:val="002C0C39"/>
    <w:rsid w:val="002E5912"/>
    <w:rsid w:val="00442224"/>
    <w:rsid w:val="008278D9"/>
    <w:rsid w:val="00996CBC"/>
    <w:rsid w:val="00D70376"/>
    <w:rsid w:val="00E263F6"/>
    <w:rsid w:val="00EC61C7"/>
    <w:rsid w:val="00FD22A1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E2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63F6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3F6"/>
    <w:rPr>
      <w:rFonts w:ascii="Times New Roman" w:eastAsia="Times New Roman" w:hAnsi="Times New Roman" w:cs="Times New Roman"/>
      <w:sz w:val="24"/>
      <w:szCs w:val="24"/>
      <w:lang/>
    </w:rPr>
  </w:style>
  <w:style w:type="character" w:styleId="Numeropagina">
    <w:name w:val="page number"/>
    <w:uiPriority w:val="99"/>
    <w:rsid w:val="00E263F6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263F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Bontempi</dc:creator>
  <cp:keywords/>
  <dc:description/>
  <cp:lastModifiedBy>Valerio Bontempi</cp:lastModifiedBy>
  <cp:revision>1</cp:revision>
  <dcterms:created xsi:type="dcterms:W3CDTF">2019-04-29T20:59:00Z</dcterms:created>
  <dcterms:modified xsi:type="dcterms:W3CDTF">2019-04-29T21:00:00Z</dcterms:modified>
</cp:coreProperties>
</file>